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98C" w:rsidRDefault="00D0198C">
      <w:pPr>
        <w:spacing w:line="360" w:lineRule="auto"/>
        <w:jc w:val="center"/>
        <w:rPr>
          <w:rFonts w:ascii="黑体" w:eastAsia="黑体" w:hAnsi="黑体"/>
          <w:bCs/>
          <w:sz w:val="44"/>
          <w:szCs w:val="44"/>
        </w:rPr>
      </w:pPr>
    </w:p>
    <w:p w:rsidR="00D0198C" w:rsidRDefault="00D0198C">
      <w:pPr>
        <w:spacing w:line="360" w:lineRule="auto"/>
        <w:jc w:val="center"/>
        <w:rPr>
          <w:rFonts w:ascii="黑体" w:eastAsia="黑体" w:hAnsi="黑体"/>
          <w:bCs/>
          <w:sz w:val="44"/>
          <w:szCs w:val="44"/>
        </w:rPr>
      </w:pPr>
    </w:p>
    <w:p w:rsidR="00D0198C" w:rsidRDefault="00D0198C">
      <w:pPr>
        <w:spacing w:line="360" w:lineRule="auto"/>
        <w:jc w:val="center"/>
        <w:rPr>
          <w:rFonts w:ascii="黑体" w:eastAsia="黑体" w:hAnsi="黑体"/>
          <w:bCs/>
          <w:sz w:val="44"/>
          <w:szCs w:val="44"/>
        </w:rPr>
      </w:pPr>
    </w:p>
    <w:p w:rsidR="00D0198C" w:rsidRDefault="00D0198C">
      <w:pPr>
        <w:spacing w:line="360" w:lineRule="auto"/>
        <w:jc w:val="center"/>
        <w:rPr>
          <w:rFonts w:ascii="黑体" w:eastAsia="黑体" w:hAnsi="黑体"/>
          <w:bCs/>
          <w:sz w:val="44"/>
          <w:szCs w:val="44"/>
        </w:rPr>
      </w:pPr>
    </w:p>
    <w:p w:rsidR="00D0198C" w:rsidRDefault="00D0198C">
      <w:pPr>
        <w:spacing w:line="360" w:lineRule="auto"/>
        <w:jc w:val="center"/>
        <w:rPr>
          <w:rFonts w:ascii="黑体" w:eastAsia="黑体" w:hAnsi="黑体"/>
          <w:bCs/>
          <w:sz w:val="44"/>
          <w:szCs w:val="44"/>
        </w:rPr>
      </w:pPr>
    </w:p>
    <w:p w:rsidR="00D0198C" w:rsidRDefault="00BF0CB6">
      <w:pPr>
        <w:spacing w:line="360" w:lineRule="auto"/>
        <w:jc w:val="center"/>
        <w:rPr>
          <w:rFonts w:ascii="黑体" w:eastAsia="黑体" w:hAnsi="黑体"/>
          <w:bCs/>
          <w:sz w:val="44"/>
          <w:szCs w:val="44"/>
        </w:rPr>
      </w:pPr>
      <w:r>
        <w:rPr>
          <w:rFonts w:ascii="黑体" w:eastAsia="黑体" w:hAnsi="黑体" w:hint="eastAsia"/>
          <w:bCs/>
          <w:sz w:val="44"/>
          <w:szCs w:val="44"/>
        </w:rPr>
        <w:t>江苏省勘察设计行业协会</w:t>
      </w:r>
    </w:p>
    <w:p w:rsidR="00D0198C" w:rsidRDefault="00BF0CB6">
      <w:pPr>
        <w:spacing w:line="360" w:lineRule="auto"/>
        <w:jc w:val="center"/>
        <w:rPr>
          <w:rFonts w:ascii="黑体" w:eastAsia="黑体" w:hAnsi="黑体"/>
          <w:bCs/>
          <w:sz w:val="44"/>
          <w:szCs w:val="44"/>
        </w:rPr>
      </w:pPr>
      <w:r>
        <w:rPr>
          <w:rFonts w:ascii="黑体" w:eastAsia="黑体" w:hAnsi="黑体" w:hint="eastAsia"/>
          <w:bCs/>
          <w:sz w:val="44"/>
          <w:szCs w:val="44"/>
        </w:rPr>
        <w:t>团体</w:t>
      </w:r>
      <w:r>
        <w:rPr>
          <w:rFonts w:ascii="黑体" w:eastAsia="黑体" w:hAnsi="黑体" w:hint="eastAsia"/>
          <w:bCs/>
          <w:sz w:val="44"/>
          <w:szCs w:val="44"/>
        </w:rPr>
        <w:t>标准《</w:t>
      </w:r>
      <w:r>
        <w:rPr>
          <w:rFonts w:ascii="黑体" w:eastAsia="黑体" w:hAnsi="黑体" w:hint="eastAsia"/>
          <w:bCs/>
          <w:sz w:val="44"/>
          <w:szCs w:val="44"/>
        </w:rPr>
        <w:t>660MPa</w:t>
      </w:r>
      <w:r>
        <w:rPr>
          <w:rFonts w:ascii="黑体" w:eastAsia="黑体" w:hAnsi="黑体" w:hint="eastAsia"/>
          <w:bCs/>
          <w:sz w:val="44"/>
          <w:szCs w:val="44"/>
        </w:rPr>
        <w:t>钢筋混凝土结构技术规程》</w:t>
      </w:r>
    </w:p>
    <w:p w:rsidR="00D0198C" w:rsidRDefault="00D0198C">
      <w:pPr>
        <w:spacing w:line="360" w:lineRule="auto"/>
        <w:jc w:val="center"/>
        <w:rPr>
          <w:rFonts w:ascii="黑体" w:eastAsia="黑体" w:hAnsi="黑体"/>
          <w:bCs/>
          <w:sz w:val="44"/>
          <w:szCs w:val="44"/>
        </w:rPr>
      </w:pPr>
    </w:p>
    <w:p w:rsidR="00D0198C" w:rsidRDefault="00D0198C">
      <w:pPr>
        <w:spacing w:line="360" w:lineRule="auto"/>
        <w:jc w:val="center"/>
        <w:rPr>
          <w:rFonts w:ascii="黑体" w:eastAsia="黑体" w:hAnsi="黑体"/>
          <w:bCs/>
          <w:sz w:val="44"/>
          <w:szCs w:val="44"/>
        </w:rPr>
      </w:pPr>
    </w:p>
    <w:p w:rsidR="00D0198C" w:rsidRDefault="00D0198C">
      <w:pPr>
        <w:spacing w:line="360" w:lineRule="auto"/>
        <w:jc w:val="center"/>
        <w:rPr>
          <w:rFonts w:ascii="黑体" w:eastAsia="黑体" w:hAnsi="黑体"/>
          <w:bCs/>
          <w:sz w:val="44"/>
          <w:szCs w:val="44"/>
        </w:rPr>
      </w:pPr>
    </w:p>
    <w:p w:rsidR="00D0198C" w:rsidRDefault="00D0198C">
      <w:pPr>
        <w:spacing w:line="360" w:lineRule="auto"/>
        <w:jc w:val="center"/>
        <w:rPr>
          <w:rFonts w:ascii="黑体" w:eastAsia="黑体" w:hAnsi="黑体"/>
          <w:bCs/>
          <w:sz w:val="44"/>
          <w:szCs w:val="44"/>
        </w:rPr>
      </w:pPr>
    </w:p>
    <w:p w:rsidR="00D0198C" w:rsidRDefault="00D0198C">
      <w:pPr>
        <w:spacing w:line="360" w:lineRule="auto"/>
        <w:jc w:val="center"/>
        <w:rPr>
          <w:rFonts w:ascii="黑体" w:eastAsia="黑体" w:hAnsi="黑体"/>
          <w:bCs/>
          <w:sz w:val="44"/>
          <w:szCs w:val="44"/>
        </w:rPr>
      </w:pPr>
    </w:p>
    <w:p w:rsidR="00D0198C" w:rsidRDefault="00BF0CB6">
      <w:pPr>
        <w:spacing w:line="360" w:lineRule="auto"/>
        <w:jc w:val="center"/>
        <w:rPr>
          <w:rFonts w:ascii="黑体" w:eastAsia="黑体" w:hAnsi="黑体"/>
          <w:bCs/>
          <w:sz w:val="44"/>
          <w:szCs w:val="44"/>
        </w:rPr>
      </w:pPr>
      <w:r>
        <w:rPr>
          <w:rFonts w:ascii="黑体" w:eastAsia="黑体" w:hAnsi="黑体" w:hint="eastAsia"/>
          <w:bCs/>
          <w:sz w:val="44"/>
          <w:szCs w:val="44"/>
        </w:rPr>
        <w:t>编</w:t>
      </w:r>
      <w:r>
        <w:rPr>
          <w:rFonts w:ascii="黑体" w:eastAsia="黑体" w:hAnsi="黑体" w:hint="eastAsia"/>
          <w:bCs/>
          <w:sz w:val="44"/>
          <w:szCs w:val="44"/>
        </w:rPr>
        <w:t xml:space="preserve">  </w:t>
      </w:r>
      <w:r>
        <w:rPr>
          <w:rFonts w:ascii="黑体" w:eastAsia="黑体" w:hAnsi="黑体" w:hint="eastAsia"/>
          <w:bCs/>
          <w:sz w:val="44"/>
          <w:szCs w:val="44"/>
        </w:rPr>
        <w:t>制</w:t>
      </w:r>
      <w:r>
        <w:rPr>
          <w:rFonts w:ascii="黑体" w:eastAsia="黑体" w:hAnsi="黑体" w:hint="eastAsia"/>
          <w:bCs/>
          <w:sz w:val="44"/>
          <w:szCs w:val="44"/>
        </w:rPr>
        <w:t xml:space="preserve">  </w:t>
      </w:r>
      <w:r>
        <w:rPr>
          <w:rFonts w:ascii="黑体" w:eastAsia="黑体" w:hAnsi="黑体" w:hint="eastAsia"/>
          <w:bCs/>
          <w:sz w:val="44"/>
          <w:szCs w:val="44"/>
        </w:rPr>
        <w:t>说</w:t>
      </w:r>
      <w:r>
        <w:rPr>
          <w:rFonts w:ascii="黑体" w:eastAsia="黑体" w:hAnsi="黑体" w:hint="eastAsia"/>
          <w:bCs/>
          <w:sz w:val="44"/>
          <w:szCs w:val="44"/>
        </w:rPr>
        <w:t xml:space="preserve">  </w:t>
      </w:r>
      <w:r>
        <w:rPr>
          <w:rFonts w:ascii="黑体" w:eastAsia="黑体" w:hAnsi="黑体" w:hint="eastAsia"/>
          <w:bCs/>
          <w:sz w:val="44"/>
          <w:szCs w:val="44"/>
        </w:rPr>
        <w:t>明</w:t>
      </w:r>
    </w:p>
    <w:p w:rsidR="00BF0CB6" w:rsidRPr="00BF0CB6" w:rsidRDefault="00BF0CB6">
      <w:pPr>
        <w:spacing w:line="360" w:lineRule="auto"/>
        <w:jc w:val="center"/>
        <w:rPr>
          <w:rFonts w:ascii="黑体" w:eastAsia="黑体" w:hAnsi="黑体" w:hint="eastAsia"/>
          <w:bCs/>
          <w:sz w:val="28"/>
          <w:szCs w:val="28"/>
        </w:rPr>
      </w:pPr>
      <w:r w:rsidRPr="00BF0CB6">
        <w:rPr>
          <w:rFonts w:ascii="黑体" w:eastAsia="黑体" w:hAnsi="黑体" w:hint="eastAsia"/>
          <w:bCs/>
          <w:sz w:val="28"/>
          <w:szCs w:val="28"/>
        </w:rPr>
        <w:t>（征求意见稿）</w:t>
      </w:r>
    </w:p>
    <w:p w:rsidR="00D0198C" w:rsidRDefault="00D0198C">
      <w:pPr>
        <w:spacing w:line="360" w:lineRule="auto"/>
        <w:rPr>
          <w:rFonts w:ascii="仿宋_GB2312" w:eastAsia="仿宋_GB2312" w:hAnsi="宋体"/>
          <w:b/>
          <w:bCs/>
          <w:sz w:val="32"/>
          <w:szCs w:val="32"/>
        </w:rPr>
      </w:pPr>
    </w:p>
    <w:p w:rsidR="00D0198C" w:rsidRDefault="00D0198C">
      <w:pPr>
        <w:spacing w:line="360" w:lineRule="auto"/>
        <w:rPr>
          <w:rFonts w:ascii="仿宋_GB2312" w:eastAsia="仿宋_GB2312" w:hAnsi="宋体"/>
          <w:b/>
          <w:bCs/>
          <w:sz w:val="32"/>
          <w:szCs w:val="32"/>
        </w:rPr>
      </w:pPr>
    </w:p>
    <w:p w:rsidR="00D0198C" w:rsidRDefault="00D0198C">
      <w:pPr>
        <w:spacing w:line="360" w:lineRule="auto"/>
        <w:rPr>
          <w:rFonts w:ascii="仿宋_GB2312" w:eastAsia="仿宋_GB2312" w:hAnsi="宋体"/>
          <w:b/>
          <w:bCs/>
          <w:sz w:val="32"/>
          <w:szCs w:val="32"/>
        </w:rPr>
      </w:pPr>
    </w:p>
    <w:p w:rsidR="00D0198C" w:rsidRDefault="00D0198C">
      <w:pPr>
        <w:spacing w:line="360" w:lineRule="auto"/>
        <w:rPr>
          <w:rFonts w:ascii="仿宋_GB2312" w:eastAsia="仿宋_GB2312" w:hAnsi="宋体"/>
          <w:b/>
          <w:bCs/>
          <w:sz w:val="32"/>
          <w:szCs w:val="32"/>
        </w:rPr>
      </w:pPr>
    </w:p>
    <w:p w:rsidR="00D0198C" w:rsidRDefault="00D0198C">
      <w:pPr>
        <w:spacing w:line="360" w:lineRule="auto"/>
        <w:rPr>
          <w:rFonts w:ascii="仿宋_GB2312" w:eastAsia="仿宋_GB2312" w:hAnsi="宋体"/>
          <w:b/>
          <w:bCs/>
          <w:sz w:val="32"/>
          <w:szCs w:val="32"/>
        </w:rPr>
      </w:pPr>
    </w:p>
    <w:p w:rsidR="00D0198C" w:rsidRDefault="00D0198C">
      <w:pPr>
        <w:spacing w:line="360" w:lineRule="auto"/>
        <w:rPr>
          <w:rFonts w:ascii="仿宋_GB2312" w:eastAsia="仿宋_GB2312" w:hAnsi="宋体"/>
          <w:b/>
          <w:bCs/>
          <w:sz w:val="32"/>
          <w:szCs w:val="32"/>
        </w:rPr>
      </w:pPr>
    </w:p>
    <w:p w:rsidR="00D0198C" w:rsidRDefault="00D0198C">
      <w:pPr>
        <w:spacing w:line="360" w:lineRule="auto"/>
        <w:rPr>
          <w:rFonts w:ascii="仿宋_GB2312" w:eastAsia="仿宋_GB2312" w:hAnsi="宋体" w:hint="eastAsia"/>
          <w:b/>
          <w:bCs/>
          <w:sz w:val="32"/>
          <w:szCs w:val="32"/>
        </w:rPr>
      </w:pPr>
    </w:p>
    <w:p w:rsidR="00D0198C" w:rsidRDefault="00BF0CB6">
      <w:pPr>
        <w:rPr>
          <w:rFonts w:ascii="仿宋_GB2312" w:eastAsia="仿宋_GB2312" w:hAnsi="宋体"/>
          <w:bCs/>
          <w:sz w:val="32"/>
          <w:szCs w:val="32"/>
        </w:rPr>
      </w:pPr>
      <w:r>
        <w:rPr>
          <w:rFonts w:ascii="仿宋_GB2312" w:eastAsia="仿宋_GB2312" w:hAnsi="宋体" w:hint="eastAsia"/>
          <w:bCs/>
          <w:sz w:val="32"/>
          <w:szCs w:val="32"/>
        </w:rPr>
        <w:lastRenderedPageBreak/>
        <w:t>一、工作简况，包括任务来源、协作单位、主要工作过程、标准主要起草人及其所做的工作等</w:t>
      </w:r>
      <w:r>
        <w:rPr>
          <w:rFonts w:ascii="仿宋_GB2312" w:eastAsia="仿宋_GB2312" w:hAnsi="宋体" w:hint="eastAsia"/>
          <w:bCs/>
          <w:sz w:val="32"/>
          <w:szCs w:val="32"/>
        </w:rPr>
        <w:t>;</w:t>
      </w:r>
    </w:p>
    <w:p w:rsidR="00D0198C" w:rsidRDefault="00BF0CB6">
      <w:pPr>
        <w:rPr>
          <w:rFonts w:ascii="仿宋_GB2312" w:eastAsia="仿宋_GB2312" w:hAnsi="宋体"/>
          <w:bCs/>
          <w:sz w:val="32"/>
          <w:szCs w:val="32"/>
        </w:rPr>
      </w:pPr>
      <w:r>
        <w:rPr>
          <w:rFonts w:ascii="仿宋_GB2312" w:eastAsia="仿宋_GB2312" w:hAnsi="宋体" w:hint="eastAsia"/>
          <w:bCs/>
          <w:sz w:val="32"/>
          <w:szCs w:val="32"/>
        </w:rPr>
        <w:t>二、确定江苏设协团体标准主要技术内容</w:t>
      </w:r>
      <w:r>
        <w:rPr>
          <w:rFonts w:ascii="仿宋_GB2312" w:eastAsia="仿宋_GB2312" w:hAnsi="宋体" w:hint="eastAsia"/>
          <w:bCs/>
          <w:sz w:val="32"/>
          <w:szCs w:val="32"/>
        </w:rPr>
        <w:t xml:space="preserve"> (</w:t>
      </w:r>
      <w:r>
        <w:rPr>
          <w:rFonts w:ascii="仿宋_GB2312" w:eastAsia="仿宋_GB2312" w:hAnsi="宋体" w:hint="eastAsia"/>
          <w:bCs/>
          <w:sz w:val="32"/>
          <w:szCs w:val="32"/>
        </w:rPr>
        <w:t>如技术指标、参数、公式、性能要求、实验方法、检验规则等</w:t>
      </w:r>
      <w:r>
        <w:rPr>
          <w:rFonts w:ascii="仿宋_GB2312" w:eastAsia="仿宋_GB2312" w:hAnsi="宋体" w:hint="eastAsia"/>
          <w:bCs/>
          <w:sz w:val="32"/>
          <w:szCs w:val="32"/>
        </w:rPr>
        <w:t xml:space="preserve"> )</w:t>
      </w:r>
      <w:r>
        <w:rPr>
          <w:rFonts w:ascii="仿宋_GB2312" w:eastAsia="仿宋_GB2312" w:hAnsi="宋体" w:hint="eastAsia"/>
          <w:bCs/>
          <w:sz w:val="32"/>
          <w:szCs w:val="32"/>
        </w:rPr>
        <w:t>的论据</w:t>
      </w:r>
      <w:r>
        <w:rPr>
          <w:rFonts w:ascii="仿宋_GB2312" w:eastAsia="仿宋_GB2312" w:hAnsi="宋体" w:hint="eastAsia"/>
          <w:bCs/>
          <w:sz w:val="32"/>
          <w:szCs w:val="32"/>
        </w:rPr>
        <w:t>(</w:t>
      </w:r>
      <w:r>
        <w:rPr>
          <w:rFonts w:ascii="仿宋_GB2312" w:eastAsia="仿宋_GB2312" w:hAnsi="宋体" w:hint="eastAsia"/>
          <w:bCs/>
          <w:sz w:val="32"/>
          <w:szCs w:val="32"/>
        </w:rPr>
        <w:t>包括试验、统计数据</w:t>
      </w:r>
      <w:r>
        <w:rPr>
          <w:rFonts w:ascii="仿宋_GB2312" w:eastAsia="仿宋_GB2312" w:hAnsi="宋体" w:hint="eastAsia"/>
          <w:bCs/>
          <w:sz w:val="32"/>
          <w:szCs w:val="32"/>
        </w:rPr>
        <w:t xml:space="preserve"> )</w:t>
      </w:r>
      <w:r>
        <w:rPr>
          <w:rFonts w:ascii="仿宋_GB2312" w:eastAsia="仿宋_GB2312" w:hAnsi="宋体" w:hint="eastAsia"/>
          <w:bCs/>
          <w:sz w:val="32"/>
          <w:szCs w:val="32"/>
        </w:rPr>
        <w:t>，修订江苏设协团体标准时，应增加新、旧标准的对比</w:t>
      </w:r>
      <w:r>
        <w:rPr>
          <w:rFonts w:ascii="仿宋_GB2312" w:eastAsia="仿宋_GB2312" w:hAnsi="宋体" w:hint="eastAsia"/>
          <w:bCs/>
          <w:sz w:val="32"/>
          <w:szCs w:val="32"/>
        </w:rPr>
        <w:t>;</w:t>
      </w:r>
    </w:p>
    <w:p w:rsidR="00D0198C" w:rsidRDefault="00BF0CB6">
      <w:pPr>
        <w:rPr>
          <w:rFonts w:ascii="仿宋_GB2312" w:eastAsia="仿宋_GB2312" w:hAnsi="宋体"/>
          <w:bCs/>
          <w:sz w:val="32"/>
          <w:szCs w:val="32"/>
        </w:rPr>
      </w:pPr>
      <w:r>
        <w:rPr>
          <w:rFonts w:ascii="仿宋_GB2312" w:eastAsia="仿宋_GB2312" w:hAnsi="宋体" w:hint="eastAsia"/>
          <w:bCs/>
          <w:sz w:val="32"/>
          <w:szCs w:val="32"/>
        </w:rPr>
        <w:t>三、主要试验</w:t>
      </w:r>
      <w:r>
        <w:rPr>
          <w:rFonts w:ascii="仿宋_GB2312" w:eastAsia="仿宋_GB2312" w:hAnsi="宋体" w:hint="eastAsia"/>
          <w:bCs/>
          <w:sz w:val="32"/>
          <w:szCs w:val="32"/>
        </w:rPr>
        <w:t xml:space="preserve"> (</w:t>
      </w:r>
      <w:r>
        <w:rPr>
          <w:rFonts w:ascii="仿宋_GB2312" w:eastAsia="仿宋_GB2312" w:hAnsi="宋体" w:hint="eastAsia"/>
          <w:bCs/>
          <w:sz w:val="32"/>
          <w:szCs w:val="32"/>
        </w:rPr>
        <w:t>验证</w:t>
      </w:r>
      <w:r>
        <w:rPr>
          <w:rFonts w:ascii="仿宋_GB2312" w:eastAsia="仿宋_GB2312" w:hAnsi="宋体" w:hint="eastAsia"/>
          <w:bCs/>
          <w:sz w:val="32"/>
          <w:szCs w:val="32"/>
        </w:rPr>
        <w:t>)</w:t>
      </w:r>
      <w:r>
        <w:rPr>
          <w:rFonts w:ascii="仿宋_GB2312" w:eastAsia="仿宋_GB2312" w:hAnsi="宋体" w:hint="eastAsia"/>
          <w:bCs/>
          <w:sz w:val="32"/>
          <w:szCs w:val="32"/>
        </w:rPr>
        <w:t>的分析、综述报告，技术经济论证，预期的经济效果</w:t>
      </w:r>
      <w:r>
        <w:rPr>
          <w:rFonts w:ascii="仿宋_GB2312" w:eastAsia="仿宋_GB2312" w:hAnsi="宋体" w:hint="eastAsia"/>
          <w:bCs/>
          <w:sz w:val="32"/>
          <w:szCs w:val="32"/>
        </w:rPr>
        <w:t>;</w:t>
      </w:r>
    </w:p>
    <w:p w:rsidR="00D0198C" w:rsidRDefault="00BF0CB6">
      <w:pPr>
        <w:rPr>
          <w:rFonts w:ascii="仿宋_GB2312" w:eastAsia="仿宋_GB2312" w:hAnsi="宋体"/>
          <w:bCs/>
          <w:sz w:val="32"/>
          <w:szCs w:val="32"/>
        </w:rPr>
      </w:pPr>
      <w:r>
        <w:rPr>
          <w:rFonts w:ascii="仿宋_GB2312" w:eastAsia="仿宋_GB2312" w:hAnsi="宋体" w:hint="eastAsia"/>
          <w:bCs/>
          <w:sz w:val="32"/>
          <w:szCs w:val="32"/>
        </w:rPr>
        <w:t>四、采用国际标准的程度及水平的简要说明</w:t>
      </w:r>
      <w:r>
        <w:rPr>
          <w:rFonts w:ascii="仿宋_GB2312" w:eastAsia="仿宋_GB2312" w:hAnsi="宋体" w:hint="eastAsia"/>
          <w:bCs/>
          <w:sz w:val="32"/>
          <w:szCs w:val="32"/>
        </w:rPr>
        <w:t>:</w:t>
      </w:r>
    </w:p>
    <w:p w:rsidR="00D0198C" w:rsidRDefault="00BF0CB6">
      <w:pPr>
        <w:rPr>
          <w:rFonts w:ascii="仿宋_GB2312" w:eastAsia="仿宋_GB2312" w:hAnsi="宋体"/>
          <w:bCs/>
          <w:sz w:val="32"/>
          <w:szCs w:val="32"/>
        </w:rPr>
      </w:pPr>
      <w:r>
        <w:rPr>
          <w:rFonts w:ascii="仿宋_GB2312" w:eastAsia="仿宋_GB2312" w:hAnsi="宋体" w:hint="eastAsia"/>
          <w:bCs/>
          <w:sz w:val="32"/>
          <w:szCs w:val="32"/>
        </w:rPr>
        <w:t>五、重大分歧意见的处理和依据</w:t>
      </w:r>
      <w:r>
        <w:rPr>
          <w:rFonts w:ascii="仿宋_GB2312" w:eastAsia="仿宋_GB2312" w:hAnsi="宋体" w:hint="eastAsia"/>
          <w:bCs/>
          <w:sz w:val="32"/>
          <w:szCs w:val="32"/>
        </w:rPr>
        <w:t>;</w:t>
      </w:r>
    </w:p>
    <w:p w:rsidR="00D0198C" w:rsidRDefault="00BF0CB6">
      <w:pPr>
        <w:rPr>
          <w:rFonts w:ascii="仿宋_GB2312" w:eastAsia="仿宋_GB2312" w:hAnsi="宋体"/>
          <w:bCs/>
          <w:sz w:val="32"/>
          <w:szCs w:val="32"/>
        </w:rPr>
      </w:pPr>
      <w:r>
        <w:rPr>
          <w:rFonts w:ascii="仿宋_GB2312" w:eastAsia="仿宋_GB2312" w:hAnsi="宋体" w:hint="eastAsia"/>
          <w:bCs/>
          <w:sz w:val="32"/>
          <w:szCs w:val="32"/>
        </w:rPr>
        <w:t>六、采用江苏设协团体标准的措施建议</w:t>
      </w:r>
      <w:r>
        <w:rPr>
          <w:rFonts w:ascii="仿宋_GB2312" w:eastAsia="仿宋_GB2312" w:hAnsi="宋体" w:hint="eastAsia"/>
          <w:bCs/>
          <w:sz w:val="32"/>
          <w:szCs w:val="32"/>
        </w:rPr>
        <w:t>;</w:t>
      </w:r>
    </w:p>
    <w:p w:rsidR="00D0198C" w:rsidRDefault="00BF0CB6">
      <w:pPr>
        <w:rPr>
          <w:rFonts w:ascii="仿宋_GB2312" w:eastAsia="仿宋_GB2312" w:hAnsi="宋体"/>
          <w:b/>
          <w:bCs/>
          <w:sz w:val="32"/>
          <w:szCs w:val="32"/>
        </w:rPr>
      </w:pPr>
      <w:r>
        <w:rPr>
          <w:rFonts w:ascii="仿宋_GB2312" w:eastAsia="仿宋_GB2312" w:hAnsi="宋体" w:hint="eastAsia"/>
          <w:bCs/>
          <w:sz w:val="32"/>
          <w:szCs w:val="32"/>
        </w:rPr>
        <w:t>七、其它应予说明的事项</w:t>
      </w:r>
      <w:r>
        <w:rPr>
          <w:rFonts w:ascii="仿宋_GB2312" w:eastAsia="仿宋_GB2312" w:hAnsi="宋体" w:hint="eastAsia"/>
          <w:bCs/>
          <w:sz w:val="32"/>
          <w:szCs w:val="32"/>
        </w:rPr>
        <w:t>。</w:t>
      </w:r>
      <w:r>
        <w:rPr>
          <w:rFonts w:ascii="仿宋_GB2312" w:eastAsia="仿宋_GB2312" w:hAnsi="宋体" w:hint="eastAsia"/>
          <w:b/>
          <w:bCs/>
          <w:sz w:val="32"/>
          <w:szCs w:val="32"/>
        </w:rPr>
        <w:br w:type="page"/>
      </w:r>
    </w:p>
    <w:p w:rsidR="00D0198C" w:rsidRDefault="00D0198C">
      <w:pPr>
        <w:spacing w:line="360" w:lineRule="auto"/>
        <w:rPr>
          <w:rFonts w:ascii="仿宋_GB2312" w:eastAsia="仿宋_GB2312" w:hAnsi="宋体"/>
          <w:b/>
          <w:bCs/>
          <w:sz w:val="32"/>
          <w:szCs w:val="32"/>
        </w:rPr>
      </w:pPr>
    </w:p>
    <w:p w:rsidR="00D0198C" w:rsidRDefault="00BF0CB6">
      <w:pPr>
        <w:snapToGrid w:val="0"/>
        <w:spacing w:line="360" w:lineRule="auto"/>
        <w:rPr>
          <w:rFonts w:ascii="仿宋_GB2312" w:eastAsia="仿宋_GB2312" w:hAnsi="宋体"/>
          <w:b/>
          <w:sz w:val="36"/>
          <w:szCs w:val="36"/>
        </w:rPr>
      </w:pPr>
      <w:r>
        <w:rPr>
          <w:rFonts w:ascii="仿宋_GB2312" w:eastAsia="仿宋_GB2312" w:hAnsi="宋体" w:hint="eastAsia"/>
          <w:b/>
          <w:sz w:val="36"/>
          <w:szCs w:val="36"/>
        </w:rPr>
        <w:t>一、标准编制</w:t>
      </w:r>
      <w:r>
        <w:rPr>
          <w:rFonts w:ascii="仿宋_GB2312" w:eastAsia="仿宋_GB2312" w:hAnsi="宋体" w:hint="eastAsia"/>
          <w:b/>
          <w:sz w:val="36"/>
          <w:szCs w:val="36"/>
        </w:rPr>
        <w:t>简况</w:t>
      </w:r>
    </w:p>
    <w:p w:rsidR="00D0198C" w:rsidRDefault="00BF0CB6">
      <w:pPr>
        <w:tabs>
          <w:tab w:val="left" w:pos="360"/>
        </w:tabs>
        <w:snapToGrid w:val="0"/>
        <w:spacing w:line="360" w:lineRule="auto"/>
        <w:ind w:firstLineChars="202" w:firstLine="646"/>
        <w:rPr>
          <w:rFonts w:ascii="仿宋_GB2312" w:eastAsia="仿宋_GB2312" w:hAnsi="宋体"/>
          <w:sz w:val="32"/>
          <w:szCs w:val="32"/>
        </w:rPr>
      </w:pPr>
      <w:r>
        <w:rPr>
          <w:rFonts w:ascii="仿宋_GB2312" w:eastAsia="仿宋_GB2312" w:hAnsi="宋体" w:hint="eastAsia"/>
          <w:sz w:val="32"/>
          <w:szCs w:val="32"/>
        </w:rPr>
        <w:t>钢筋混凝土结构是由钢筋和混凝土两种材料组成的共同受力体系，其结合了钢筋和混凝土材料的优点，具有材料利用合理、耐久性好、耐火性好、可模性好、整体性好、易于取材等特点，广泛应用于各种建筑结构工程之中，成为现阶段工程结构设计中采用最多的结构形式。随着建筑物体型的不断增大，对结构要求的不断增多，结构中所需要的钢材强度也在不断提高，并且随着城市化的不断加快，建筑能耗比例不断增大，采用更高强度的建筑钢材已成为未来钢筋制造及结构设计必然的趋势。</w:t>
      </w:r>
    </w:p>
    <w:p w:rsidR="00D0198C" w:rsidRDefault="00BF0CB6">
      <w:pPr>
        <w:tabs>
          <w:tab w:val="left" w:pos="360"/>
        </w:tabs>
        <w:snapToGrid w:val="0"/>
        <w:spacing w:line="360" w:lineRule="auto"/>
        <w:ind w:firstLineChars="202" w:firstLine="646"/>
        <w:rPr>
          <w:rFonts w:ascii="仿宋_GB2312" w:eastAsia="仿宋_GB2312" w:hAnsi="宋体"/>
          <w:sz w:val="32"/>
          <w:szCs w:val="32"/>
        </w:rPr>
      </w:pPr>
      <w:r>
        <w:rPr>
          <w:rFonts w:ascii="仿宋_GB2312" w:eastAsia="仿宋_GB2312" w:hAnsi="宋体" w:hint="eastAsia"/>
          <w:sz w:val="32"/>
          <w:szCs w:val="32"/>
        </w:rPr>
        <w:t>主编单位为了</w:t>
      </w:r>
      <w:r>
        <w:rPr>
          <w:rFonts w:ascii="仿宋_GB2312" w:eastAsia="仿宋_GB2312" w:hAnsi="宋体" w:hint="eastAsia"/>
          <w:sz w:val="32"/>
          <w:szCs w:val="32"/>
        </w:rPr>
        <w:t>6</w:t>
      </w:r>
      <w:r>
        <w:rPr>
          <w:rFonts w:ascii="仿宋_GB2312" w:eastAsia="仿宋_GB2312" w:hAnsi="宋体" w:hint="eastAsia"/>
          <w:sz w:val="32"/>
          <w:szCs w:val="32"/>
        </w:rPr>
        <w:t>6</w:t>
      </w:r>
      <w:r>
        <w:rPr>
          <w:rFonts w:ascii="仿宋_GB2312" w:eastAsia="仿宋_GB2312" w:hAnsi="宋体" w:hint="eastAsia"/>
          <w:sz w:val="32"/>
          <w:szCs w:val="32"/>
        </w:rPr>
        <w:t>0MPa</w:t>
      </w:r>
      <w:r>
        <w:rPr>
          <w:rFonts w:ascii="仿宋_GB2312" w:eastAsia="仿宋_GB2312" w:hAnsi="宋体" w:hint="eastAsia"/>
          <w:sz w:val="32"/>
          <w:szCs w:val="32"/>
        </w:rPr>
        <w:t>及以上级高强钢筋在全国范围内的推广应用特向</w:t>
      </w:r>
      <w:r>
        <w:rPr>
          <w:rFonts w:ascii="仿宋_GB2312" w:eastAsia="仿宋_GB2312" w:hAnsi="宋体" w:hint="eastAsia"/>
          <w:sz w:val="32"/>
          <w:szCs w:val="32"/>
        </w:rPr>
        <w:t>江苏省勘察</w:t>
      </w:r>
      <w:r>
        <w:rPr>
          <w:rFonts w:ascii="仿宋_GB2312" w:eastAsia="仿宋_GB2312" w:hAnsi="宋体" w:hint="eastAsia"/>
          <w:sz w:val="32"/>
          <w:szCs w:val="32"/>
        </w:rPr>
        <w:t>设计行业、</w:t>
      </w:r>
      <w:r>
        <w:rPr>
          <w:rFonts w:ascii="仿宋_GB2312" w:eastAsia="仿宋_GB2312" w:hAnsi="宋体" w:hint="eastAsia"/>
          <w:sz w:val="32"/>
          <w:szCs w:val="32"/>
        </w:rPr>
        <w:t>协会申请《</w:t>
      </w:r>
      <w:r>
        <w:rPr>
          <w:rFonts w:ascii="仿宋_GB2312" w:eastAsia="仿宋_GB2312" w:hAnsi="宋体" w:hint="eastAsia"/>
          <w:sz w:val="32"/>
          <w:szCs w:val="32"/>
        </w:rPr>
        <w:t>660MPa</w:t>
      </w:r>
      <w:r>
        <w:rPr>
          <w:rFonts w:ascii="仿宋_GB2312" w:eastAsia="仿宋_GB2312" w:hAnsi="宋体" w:hint="eastAsia"/>
          <w:sz w:val="32"/>
          <w:szCs w:val="32"/>
        </w:rPr>
        <w:t>钢筋混凝土结构技术规程》立项。根据《江苏省勘察设计行业协会团体标准管理办法》、《江苏省勘察设计行业协会团体标准制定程序》的要求，由江苏省勘察设计行业协会同</w:t>
      </w:r>
      <w:r>
        <w:rPr>
          <w:rFonts w:ascii="仿宋_GB2312" w:eastAsia="仿宋_GB2312" w:hAnsi="宋体" w:hint="eastAsia"/>
          <w:sz w:val="32"/>
          <w:szCs w:val="32"/>
        </w:rPr>
        <w:t>江苏天舜金属材料集团有限公司、东南大学等</w:t>
      </w:r>
      <w:r>
        <w:rPr>
          <w:rFonts w:ascii="仿宋_GB2312" w:eastAsia="仿宋_GB2312" w:hAnsi="宋体" w:hint="eastAsia"/>
          <w:sz w:val="32"/>
          <w:szCs w:val="32"/>
        </w:rPr>
        <w:t>有关单位组织编制完成。</w:t>
      </w:r>
    </w:p>
    <w:p w:rsidR="00D0198C" w:rsidRDefault="00D0198C">
      <w:pPr>
        <w:tabs>
          <w:tab w:val="left" w:pos="360"/>
        </w:tabs>
        <w:snapToGrid w:val="0"/>
        <w:spacing w:line="360" w:lineRule="auto"/>
        <w:ind w:firstLineChars="202" w:firstLine="646"/>
        <w:rPr>
          <w:rFonts w:ascii="仿宋_GB2312" w:eastAsia="仿宋_GB2312" w:hAnsi="宋体"/>
          <w:sz w:val="32"/>
          <w:szCs w:val="32"/>
        </w:rPr>
      </w:pPr>
    </w:p>
    <w:p w:rsidR="00D0198C" w:rsidRPr="00BF0CB6" w:rsidRDefault="00BF0CB6" w:rsidP="00BF0CB6">
      <w:pPr>
        <w:snapToGrid w:val="0"/>
        <w:spacing w:line="360" w:lineRule="auto"/>
        <w:rPr>
          <w:rFonts w:ascii="仿宋_GB2312" w:eastAsia="仿宋_GB2312" w:hAnsi="宋体" w:hint="eastAsia"/>
          <w:b/>
          <w:bCs/>
          <w:sz w:val="32"/>
          <w:szCs w:val="32"/>
        </w:rPr>
      </w:pPr>
      <w:r>
        <w:rPr>
          <w:rFonts w:ascii="仿宋_GB2312" w:eastAsia="仿宋_GB2312" w:hAnsi="宋体" w:hint="eastAsia"/>
          <w:b/>
          <w:bCs/>
          <w:sz w:val="32"/>
          <w:szCs w:val="32"/>
        </w:rPr>
        <w:t>主要</w:t>
      </w:r>
      <w:r>
        <w:rPr>
          <w:rFonts w:ascii="仿宋_GB2312" w:eastAsia="仿宋_GB2312" w:hAnsi="宋体" w:hint="eastAsia"/>
          <w:b/>
          <w:bCs/>
          <w:sz w:val="32"/>
          <w:szCs w:val="32"/>
        </w:rPr>
        <w:t>编制工作过程</w:t>
      </w:r>
      <w:bookmarkStart w:id="0" w:name="_GoBack"/>
      <w:bookmarkEnd w:id="0"/>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初稿编制</w:t>
      </w:r>
      <w:r>
        <w:rPr>
          <w:rFonts w:ascii="仿宋_GB2312" w:eastAsia="仿宋_GB2312" w:hAnsi="宋体" w:hint="eastAsia"/>
          <w:sz w:val="32"/>
          <w:szCs w:val="32"/>
        </w:rPr>
        <w:t>阶段</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2024/0</w:t>
      </w:r>
      <w:r>
        <w:rPr>
          <w:rFonts w:ascii="仿宋_GB2312" w:eastAsia="仿宋_GB2312" w:hAnsi="宋体" w:hint="eastAsia"/>
          <w:sz w:val="32"/>
          <w:szCs w:val="32"/>
        </w:rPr>
        <w:t>8</w:t>
      </w:r>
      <w:r>
        <w:rPr>
          <w:rFonts w:ascii="仿宋_GB2312" w:eastAsia="仿宋_GB2312" w:hAnsi="宋体" w:hint="eastAsia"/>
          <w:sz w:val="32"/>
          <w:szCs w:val="32"/>
        </w:rPr>
        <w:t>/</w:t>
      </w:r>
      <w:r>
        <w:rPr>
          <w:rFonts w:ascii="仿宋_GB2312" w:eastAsia="仿宋_GB2312" w:hAnsi="宋体" w:hint="eastAsia"/>
          <w:sz w:val="32"/>
          <w:szCs w:val="32"/>
        </w:rPr>
        <w:t>01</w:t>
      </w:r>
      <w:r>
        <w:rPr>
          <w:rFonts w:ascii="仿宋_GB2312" w:eastAsia="仿宋_GB2312" w:hAnsi="宋体" w:hint="eastAsia"/>
          <w:sz w:val="32"/>
          <w:szCs w:val="32"/>
        </w:rPr>
        <w:t>至</w:t>
      </w:r>
      <w:r>
        <w:rPr>
          <w:rFonts w:ascii="仿宋_GB2312" w:eastAsia="仿宋_GB2312" w:hAnsi="宋体" w:hint="eastAsia"/>
          <w:sz w:val="32"/>
          <w:szCs w:val="32"/>
        </w:rPr>
        <w:t>2024/0</w:t>
      </w:r>
      <w:r>
        <w:rPr>
          <w:rFonts w:ascii="仿宋_GB2312" w:eastAsia="仿宋_GB2312" w:hAnsi="宋体" w:hint="eastAsia"/>
          <w:sz w:val="32"/>
          <w:szCs w:val="32"/>
        </w:rPr>
        <w:t>8</w:t>
      </w:r>
      <w:r>
        <w:rPr>
          <w:rFonts w:ascii="仿宋_GB2312" w:eastAsia="仿宋_GB2312" w:hAnsi="宋体" w:hint="eastAsia"/>
          <w:sz w:val="32"/>
          <w:szCs w:val="32"/>
        </w:rPr>
        <w:t>/3</w:t>
      </w:r>
      <w:r>
        <w:rPr>
          <w:rFonts w:ascii="仿宋_GB2312" w:eastAsia="仿宋_GB2312" w:hAnsi="宋体" w:hint="eastAsia"/>
          <w:sz w:val="32"/>
          <w:szCs w:val="32"/>
        </w:rPr>
        <w:t>1</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lastRenderedPageBreak/>
        <w:t>编制组对初稿进行讨论，合作完成《标准》初稿修改工作。</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征求意见</w:t>
      </w:r>
      <w:r>
        <w:rPr>
          <w:rFonts w:ascii="仿宋_GB2312" w:eastAsia="仿宋_GB2312" w:hAnsi="宋体" w:hint="eastAsia"/>
          <w:sz w:val="32"/>
          <w:szCs w:val="32"/>
        </w:rPr>
        <w:t>阶段</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2024/0</w:t>
      </w:r>
      <w:r>
        <w:rPr>
          <w:rFonts w:ascii="仿宋_GB2312" w:eastAsia="仿宋_GB2312" w:hAnsi="宋体" w:hint="eastAsia"/>
          <w:sz w:val="32"/>
          <w:szCs w:val="32"/>
        </w:rPr>
        <w:t>9</w:t>
      </w:r>
      <w:r>
        <w:rPr>
          <w:rFonts w:ascii="仿宋_GB2312" w:eastAsia="仿宋_GB2312" w:hAnsi="宋体" w:hint="eastAsia"/>
          <w:sz w:val="32"/>
          <w:szCs w:val="32"/>
        </w:rPr>
        <w:t>/01</w:t>
      </w:r>
      <w:r>
        <w:rPr>
          <w:rFonts w:ascii="仿宋_GB2312" w:eastAsia="仿宋_GB2312" w:hAnsi="宋体" w:hint="eastAsia"/>
          <w:sz w:val="32"/>
          <w:szCs w:val="32"/>
        </w:rPr>
        <w:t>至</w:t>
      </w:r>
      <w:r>
        <w:rPr>
          <w:rFonts w:ascii="仿宋_GB2312" w:eastAsia="仿宋_GB2312" w:hAnsi="宋体" w:hint="eastAsia"/>
          <w:sz w:val="32"/>
          <w:szCs w:val="32"/>
        </w:rPr>
        <w:t>2024/</w:t>
      </w:r>
      <w:r>
        <w:rPr>
          <w:rFonts w:ascii="仿宋_GB2312" w:eastAsia="仿宋_GB2312" w:hAnsi="宋体" w:hint="eastAsia"/>
          <w:sz w:val="32"/>
          <w:szCs w:val="32"/>
        </w:rPr>
        <w:t>10</w:t>
      </w:r>
      <w:r>
        <w:rPr>
          <w:rFonts w:ascii="仿宋_GB2312" w:eastAsia="仿宋_GB2312" w:hAnsi="宋体" w:hint="eastAsia"/>
          <w:sz w:val="32"/>
          <w:szCs w:val="32"/>
        </w:rPr>
        <w:t>/3</w:t>
      </w:r>
      <w:r>
        <w:rPr>
          <w:rFonts w:ascii="仿宋_GB2312" w:eastAsia="仿宋_GB2312" w:hAnsi="宋体" w:hint="eastAsia"/>
          <w:sz w:val="32"/>
          <w:szCs w:val="32"/>
        </w:rPr>
        <w:t>0</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编制组对《标准》进行讨论，形成征求意见稿</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送审</w:t>
      </w:r>
      <w:r>
        <w:rPr>
          <w:rFonts w:ascii="仿宋_GB2312" w:eastAsia="仿宋_GB2312" w:hAnsi="宋体" w:hint="eastAsia"/>
          <w:sz w:val="32"/>
          <w:szCs w:val="32"/>
        </w:rPr>
        <w:t>阶段</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2024/</w:t>
      </w:r>
      <w:r>
        <w:rPr>
          <w:rFonts w:ascii="仿宋_GB2312" w:eastAsia="仿宋_GB2312" w:hAnsi="宋体" w:hint="eastAsia"/>
          <w:sz w:val="32"/>
          <w:szCs w:val="32"/>
        </w:rPr>
        <w:t>11</w:t>
      </w:r>
      <w:r>
        <w:rPr>
          <w:rFonts w:ascii="仿宋_GB2312" w:eastAsia="仿宋_GB2312" w:hAnsi="宋体" w:hint="eastAsia"/>
          <w:sz w:val="32"/>
          <w:szCs w:val="32"/>
        </w:rPr>
        <w:t>/0</w:t>
      </w:r>
      <w:r>
        <w:rPr>
          <w:rFonts w:ascii="仿宋_GB2312" w:eastAsia="仿宋_GB2312" w:hAnsi="宋体" w:hint="eastAsia"/>
          <w:sz w:val="32"/>
          <w:szCs w:val="32"/>
        </w:rPr>
        <w:t>1</w:t>
      </w:r>
      <w:r>
        <w:rPr>
          <w:rFonts w:ascii="仿宋_GB2312" w:eastAsia="仿宋_GB2312" w:hAnsi="宋体" w:hint="eastAsia"/>
          <w:sz w:val="32"/>
          <w:szCs w:val="32"/>
        </w:rPr>
        <w:t>至</w:t>
      </w:r>
      <w:r>
        <w:rPr>
          <w:rFonts w:ascii="仿宋_GB2312" w:eastAsia="仿宋_GB2312" w:hAnsi="宋体" w:hint="eastAsia"/>
          <w:sz w:val="32"/>
          <w:szCs w:val="32"/>
        </w:rPr>
        <w:t>2024/</w:t>
      </w:r>
      <w:r>
        <w:rPr>
          <w:rFonts w:ascii="仿宋_GB2312" w:eastAsia="仿宋_GB2312" w:hAnsi="宋体" w:hint="eastAsia"/>
          <w:sz w:val="32"/>
          <w:szCs w:val="32"/>
        </w:rPr>
        <w:t>12</w:t>
      </w:r>
      <w:r>
        <w:rPr>
          <w:rFonts w:ascii="仿宋_GB2312" w:eastAsia="仿宋_GB2312" w:hAnsi="宋体" w:hint="eastAsia"/>
          <w:sz w:val="32"/>
          <w:szCs w:val="32"/>
        </w:rPr>
        <w:t>/</w:t>
      </w:r>
      <w:r>
        <w:rPr>
          <w:rFonts w:ascii="仿宋_GB2312" w:eastAsia="仿宋_GB2312" w:hAnsi="宋体" w:hint="eastAsia"/>
          <w:sz w:val="32"/>
          <w:szCs w:val="32"/>
        </w:rPr>
        <w:t>14</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对意见进行答复，并对《标准》进行完善，形成送审稿。</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报批</w:t>
      </w:r>
      <w:r>
        <w:rPr>
          <w:rFonts w:ascii="仿宋_GB2312" w:eastAsia="仿宋_GB2312" w:hAnsi="宋体" w:hint="eastAsia"/>
          <w:sz w:val="32"/>
          <w:szCs w:val="32"/>
        </w:rPr>
        <w:t>阶段</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2024/</w:t>
      </w:r>
      <w:r>
        <w:rPr>
          <w:rFonts w:ascii="仿宋_GB2312" w:eastAsia="仿宋_GB2312" w:hAnsi="宋体" w:hint="eastAsia"/>
          <w:sz w:val="32"/>
          <w:szCs w:val="32"/>
        </w:rPr>
        <w:t>12</w:t>
      </w:r>
      <w:r>
        <w:rPr>
          <w:rFonts w:ascii="仿宋_GB2312" w:eastAsia="仿宋_GB2312" w:hAnsi="宋体" w:hint="eastAsia"/>
          <w:sz w:val="32"/>
          <w:szCs w:val="32"/>
        </w:rPr>
        <w:t>/</w:t>
      </w:r>
      <w:r>
        <w:rPr>
          <w:rFonts w:ascii="仿宋_GB2312" w:eastAsia="仿宋_GB2312" w:hAnsi="宋体" w:hint="eastAsia"/>
          <w:sz w:val="32"/>
          <w:szCs w:val="32"/>
        </w:rPr>
        <w:t>15</w:t>
      </w:r>
      <w:r>
        <w:rPr>
          <w:rFonts w:ascii="仿宋_GB2312" w:eastAsia="仿宋_GB2312" w:hAnsi="宋体" w:hint="eastAsia"/>
          <w:sz w:val="32"/>
          <w:szCs w:val="32"/>
        </w:rPr>
        <w:t>至</w:t>
      </w:r>
      <w:r>
        <w:rPr>
          <w:rFonts w:ascii="仿宋_GB2312" w:eastAsia="仿宋_GB2312" w:hAnsi="宋体" w:hint="eastAsia"/>
          <w:sz w:val="32"/>
          <w:szCs w:val="32"/>
        </w:rPr>
        <w:t>2024/</w:t>
      </w:r>
      <w:r>
        <w:rPr>
          <w:rFonts w:ascii="仿宋_GB2312" w:eastAsia="仿宋_GB2312" w:hAnsi="宋体" w:hint="eastAsia"/>
          <w:sz w:val="32"/>
          <w:szCs w:val="32"/>
        </w:rPr>
        <w:t>1</w:t>
      </w:r>
      <w:r>
        <w:rPr>
          <w:rFonts w:ascii="仿宋_GB2312" w:eastAsia="仿宋_GB2312" w:hAnsi="宋体" w:hint="eastAsia"/>
          <w:sz w:val="32"/>
          <w:szCs w:val="32"/>
        </w:rPr>
        <w:t>/31</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根据审查意见进一步完善《标准》，完成报批</w:t>
      </w:r>
    </w:p>
    <w:p w:rsidR="00D0198C" w:rsidRDefault="00D0198C">
      <w:pPr>
        <w:pStyle w:val="2"/>
        <w:ind w:firstLine="640"/>
        <w:rPr>
          <w:rFonts w:ascii="仿宋_GB2312" w:eastAsia="仿宋_GB2312" w:hAnsi="宋体"/>
          <w:sz w:val="32"/>
          <w:szCs w:val="32"/>
        </w:rPr>
      </w:pPr>
    </w:p>
    <w:p w:rsidR="00D0198C" w:rsidRDefault="00BF0CB6">
      <w:pPr>
        <w:tabs>
          <w:tab w:val="left" w:pos="360"/>
        </w:tabs>
        <w:snapToGrid w:val="0"/>
        <w:spacing w:line="360" w:lineRule="auto"/>
        <w:rPr>
          <w:rFonts w:ascii="仿宋_GB2312" w:eastAsia="仿宋_GB2312" w:hAnsi="宋体"/>
          <w:b/>
          <w:bCs/>
          <w:sz w:val="32"/>
          <w:szCs w:val="32"/>
        </w:rPr>
      </w:pPr>
      <w:r>
        <w:rPr>
          <w:rFonts w:ascii="仿宋_GB2312" w:eastAsia="仿宋_GB2312" w:hAnsi="宋体" w:hint="eastAsia"/>
          <w:b/>
          <w:bCs/>
          <w:sz w:val="32"/>
          <w:szCs w:val="32"/>
        </w:rPr>
        <w:t>标准主要起草人</w:t>
      </w:r>
    </w:p>
    <w:p w:rsidR="00D0198C" w:rsidRDefault="00BF0CB6">
      <w:pPr>
        <w:tabs>
          <w:tab w:val="left" w:pos="360"/>
        </w:tabs>
        <w:snapToGrid w:val="0"/>
        <w:spacing w:line="360" w:lineRule="auto"/>
        <w:ind w:firstLineChars="202" w:firstLine="646"/>
        <w:rPr>
          <w:rFonts w:ascii="仿宋_GB2312" w:eastAsia="仿宋_GB2312" w:hAnsi="宋体"/>
          <w:sz w:val="32"/>
          <w:szCs w:val="32"/>
        </w:rPr>
        <w:sectPr w:rsidR="00D0198C">
          <w:pgSz w:w="11906" w:h="16838"/>
          <w:pgMar w:top="1440" w:right="1800" w:bottom="1440" w:left="1800" w:header="851" w:footer="992" w:gutter="0"/>
          <w:cols w:space="425"/>
          <w:docGrid w:type="lines" w:linePitch="312"/>
        </w:sectPr>
      </w:pPr>
      <w:r>
        <w:rPr>
          <w:rFonts w:ascii="仿宋_GB2312" w:eastAsia="仿宋_GB2312" w:hAnsi="宋体" w:hint="eastAsia"/>
          <w:sz w:val="32"/>
          <w:szCs w:val="32"/>
        </w:rPr>
        <w:t>姚圣法，硕士，研发创新带头人，高级经济师。</w:t>
      </w:r>
      <w:r>
        <w:rPr>
          <w:rFonts w:ascii="仿宋_GB2312" w:eastAsia="仿宋_GB2312" w:hAnsi="宋体" w:hint="eastAsia"/>
          <w:sz w:val="32"/>
          <w:szCs w:val="32"/>
        </w:rPr>
        <w:t>2011</w:t>
      </w:r>
      <w:r>
        <w:rPr>
          <w:rFonts w:ascii="仿宋_GB2312" w:eastAsia="仿宋_GB2312" w:hAnsi="宋体" w:hint="eastAsia"/>
          <w:sz w:val="32"/>
          <w:szCs w:val="32"/>
        </w:rPr>
        <w:t>年以来，多次主编起草制定各省工程建设行业标准：</w:t>
      </w:r>
      <w:r>
        <w:rPr>
          <w:rFonts w:ascii="仿宋_GB2312" w:eastAsia="仿宋_GB2312" w:hAnsi="宋体" w:hint="eastAsia"/>
          <w:sz w:val="32"/>
          <w:szCs w:val="32"/>
        </w:rPr>
        <w:t>2011</w:t>
      </w:r>
      <w:r>
        <w:rPr>
          <w:rFonts w:ascii="仿宋_GB2312" w:eastAsia="仿宋_GB2312" w:hAnsi="宋体" w:hint="eastAsia"/>
          <w:sz w:val="32"/>
          <w:szCs w:val="32"/>
        </w:rPr>
        <w:t>年主编了江苏省工程建设技术导则《热处理带肋高强钢筋混凝土结构技术导则》；</w:t>
      </w:r>
      <w:r>
        <w:rPr>
          <w:rFonts w:ascii="仿宋_GB2312" w:eastAsia="仿宋_GB2312" w:hAnsi="宋体" w:hint="eastAsia"/>
          <w:sz w:val="32"/>
          <w:szCs w:val="32"/>
        </w:rPr>
        <w:t>2012</w:t>
      </w:r>
      <w:r>
        <w:rPr>
          <w:rFonts w:ascii="仿宋_GB2312" w:eastAsia="仿宋_GB2312" w:hAnsi="宋体" w:hint="eastAsia"/>
          <w:sz w:val="32"/>
          <w:szCs w:val="32"/>
        </w:rPr>
        <w:t>年</w:t>
      </w:r>
      <w:r>
        <w:rPr>
          <w:rFonts w:ascii="仿宋_GB2312" w:eastAsia="仿宋_GB2312" w:hAnsi="宋体" w:hint="eastAsia"/>
          <w:sz w:val="32"/>
          <w:szCs w:val="32"/>
        </w:rPr>
        <w:t>8</w:t>
      </w:r>
      <w:r>
        <w:rPr>
          <w:rFonts w:ascii="仿宋_GB2312" w:eastAsia="仿宋_GB2312" w:hAnsi="宋体" w:hint="eastAsia"/>
          <w:sz w:val="32"/>
          <w:szCs w:val="32"/>
        </w:rPr>
        <w:t>月主编了江苏省工程建设推荐性技术规程《热处理带肋高强钢筋混凝土结构技术规程》（苏</w:t>
      </w:r>
      <w:r>
        <w:rPr>
          <w:rFonts w:ascii="仿宋_GB2312" w:eastAsia="仿宋_GB2312" w:hAnsi="宋体" w:hint="eastAsia"/>
          <w:sz w:val="32"/>
          <w:szCs w:val="32"/>
        </w:rPr>
        <w:t>JGT054-2012</w:t>
      </w:r>
      <w:r>
        <w:rPr>
          <w:rFonts w:ascii="仿宋_GB2312" w:eastAsia="仿宋_GB2312" w:hAnsi="宋体" w:hint="eastAsia"/>
          <w:sz w:val="32"/>
          <w:szCs w:val="32"/>
        </w:rPr>
        <w:t>）；</w:t>
      </w:r>
      <w:r>
        <w:rPr>
          <w:rFonts w:ascii="仿宋_GB2312" w:eastAsia="仿宋_GB2312" w:hAnsi="宋体" w:hint="eastAsia"/>
          <w:sz w:val="32"/>
          <w:szCs w:val="32"/>
        </w:rPr>
        <w:t>2013</w:t>
      </w:r>
      <w:r>
        <w:rPr>
          <w:rFonts w:ascii="仿宋_GB2312" w:eastAsia="仿宋_GB2312" w:hAnsi="宋体" w:hint="eastAsia"/>
          <w:sz w:val="32"/>
          <w:szCs w:val="32"/>
        </w:rPr>
        <w:t>年</w:t>
      </w:r>
      <w:r>
        <w:rPr>
          <w:rFonts w:ascii="仿宋_GB2312" w:eastAsia="仿宋_GB2312" w:hAnsi="宋体" w:hint="eastAsia"/>
          <w:sz w:val="32"/>
          <w:szCs w:val="32"/>
        </w:rPr>
        <w:t>5</w:t>
      </w:r>
      <w:r>
        <w:rPr>
          <w:rFonts w:ascii="仿宋_GB2312" w:eastAsia="仿宋_GB2312" w:hAnsi="宋体" w:hint="eastAsia"/>
          <w:sz w:val="32"/>
          <w:szCs w:val="32"/>
        </w:rPr>
        <w:t>月主编了上海市工程建设企业应用标准《天舜热处理带肋高强钢筋混凝土结构技术规程》（</w:t>
      </w:r>
      <w:r>
        <w:rPr>
          <w:rFonts w:ascii="仿宋_GB2312" w:eastAsia="仿宋_GB2312" w:hAnsi="宋体" w:hint="eastAsia"/>
          <w:sz w:val="32"/>
          <w:szCs w:val="32"/>
        </w:rPr>
        <w:t>SQBJ/CT178-2013</w:t>
      </w:r>
      <w:r>
        <w:rPr>
          <w:rFonts w:ascii="仿宋_GB2312" w:eastAsia="仿宋_GB2312" w:hAnsi="宋体" w:hint="eastAsia"/>
          <w:sz w:val="32"/>
          <w:szCs w:val="32"/>
        </w:rPr>
        <w:t>）；</w:t>
      </w:r>
      <w:r>
        <w:rPr>
          <w:rFonts w:ascii="仿宋_GB2312" w:eastAsia="仿宋_GB2312" w:hAnsi="宋体" w:hint="eastAsia"/>
          <w:sz w:val="32"/>
          <w:szCs w:val="32"/>
        </w:rPr>
        <w:t>2016</w:t>
      </w:r>
      <w:r>
        <w:rPr>
          <w:rFonts w:ascii="仿宋_GB2312" w:eastAsia="仿宋_GB2312" w:hAnsi="宋体" w:hint="eastAsia"/>
          <w:sz w:val="32"/>
          <w:szCs w:val="32"/>
        </w:rPr>
        <w:t>年</w:t>
      </w:r>
      <w:r>
        <w:rPr>
          <w:rFonts w:ascii="仿宋_GB2312" w:eastAsia="仿宋_GB2312" w:hAnsi="宋体" w:hint="eastAsia"/>
          <w:sz w:val="32"/>
          <w:szCs w:val="32"/>
        </w:rPr>
        <w:t>4</w:t>
      </w:r>
      <w:r>
        <w:rPr>
          <w:rFonts w:ascii="仿宋_GB2312" w:eastAsia="仿宋_GB2312" w:hAnsi="宋体" w:hint="eastAsia"/>
          <w:sz w:val="32"/>
          <w:szCs w:val="32"/>
        </w:rPr>
        <w:t>月修编为江苏省工程建设技术规程《热处理带肋高强钢筋混凝土结构技术规程》（</w:t>
      </w:r>
      <w:r>
        <w:rPr>
          <w:rFonts w:ascii="仿宋_GB2312" w:eastAsia="仿宋_GB2312" w:hAnsi="宋体" w:hint="eastAsia"/>
          <w:sz w:val="32"/>
          <w:szCs w:val="32"/>
        </w:rPr>
        <w:t>DCJ3</w:t>
      </w:r>
      <w:r>
        <w:rPr>
          <w:rFonts w:ascii="仿宋_GB2312" w:eastAsia="仿宋_GB2312" w:hAnsi="宋体" w:hint="eastAsia"/>
          <w:sz w:val="32"/>
          <w:szCs w:val="32"/>
        </w:rPr>
        <w:t>2/TJ202-2016</w:t>
      </w:r>
      <w:r>
        <w:rPr>
          <w:rFonts w:ascii="仿宋_GB2312" w:eastAsia="仿宋_GB2312" w:hAnsi="宋体" w:hint="eastAsia"/>
          <w:sz w:val="32"/>
          <w:szCs w:val="32"/>
        </w:rPr>
        <w:t>）；</w:t>
      </w:r>
      <w:r>
        <w:rPr>
          <w:rFonts w:ascii="仿宋_GB2312" w:eastAsia="仿宋_GB2312" w:hAnsi="宋体" w:hint="eastAsia"/>
          <w:sz w:val="32"/>
          <w:szCs w:val="32"/>
        </w:rPr>
        <w:t>2016</w:t>
      </w:r>
      <w:r>
        <w:rPr>
          <w:rFonts w:ascii="仿宋_GB2312" w:eastAsia="仿宋_GB2312" w:hAnsi="宋体" w:hint="eastAsia"/>
          <w:sz w:val="32"/>
          <w:szCs w:val="32"/>
        </w:rPr>
        <w:t>年</w:t>
      </w:r>
      <w:r>
        <w:rPr>
          <w:rFonts w:ascii="仿宋_GB2312" w:eastAsia="仿宋_GB2312" w:hAnsi="宋体" w:hint="eastAsia"/>
          <w:sz w:val="32"/>
          <w:szCs w:val="32"/>
        </w:rPr>
        <w:t>3</w:t>
      </w:r>
      <w:r>
        <w:rPr>
          <w:rFonts w:ascii="仿宋_GB2312" w:eastAsia="仿宋_GB2312" w:hAnsi="宋体" w:hint="eastAsia"/>
          <w:sz w:val="32"/>
          <w:szCs w:val="32"/>
        </w:rPr>
        <w:t>月主编、发布了浙江省住</w:t>
      </w:r>
      <w:r>
        <w:rPr>
          <w:rFonts w:ascii="仿宋_GB2312" w:eastAsia="仿宋_GB2312" w:hAnsi="宋体" w:hint="eastAsia"/>
          <w:sz w:val="32"/>
          <w:szCs w:val="32"/>
        </w:rPr>
        <w:lastRenderedPageBreak/>
        <w:t>房和城乡建设厅备案标准《热处理带肋高强钢筋混凝土结构技术规程》（</w:t>
      </w:r>
      <w:r>
        <w:rPr>
          <w:rFonts w:ascii="仿宋_GB2312" w:eastAsia="仿宋_GB2312" w:hAnsi="宋体" w:hint="eastAsia"/>
          <w:sz w:val="32"/>
          <w:szCs w:val="32"/>
        </w:rPr>
        <w:t>QJSTS06-2016</w:t>
      </w:r>
      <w:r>
        <w:rPr>
          <w:rFonts w:ascii="仿宋_GB2312" w:eastAsia="仿宋_GB2312" w:hAnsi="宋体" w:hint="eastAsia"/>
          <w:sz w:val="32"/>
          <w:szCs w:val="32"/>
        </w:rPr>
        <w:t>），备案编号：</w:t>
      </w:r>
      <w:r>
        <w:rPr>
          <w:rFonts w:ascii="仿宋_GB2312" w:eastAsia="仿宋_GB2312" w:hAnsi="宋体" w:hint="eastAsia"/>
          <w:sz w:val="32"/>
          <w:szCs w:val="32"/>
        </w:rPr>
        <w:t>3000142016</w:t>
      </w:r>
      <w:r>
        <w:rPr>
          <w:rFonts w:ascii="仿宋_GB2312" w:eastAsia="仿宋_GB2312" w:hAnsi="宋体" w:hint="eastAsia"/>
          <w:sz w:val="32"/>
          <w:szCs w:val="32"/>
        </w:rPr>
        <w:t>；</w:t>
      </w:r>
      <w:r>
        <w:rPr>
          <w:rFonts w:ascii="仿宋_GB2312" w:eastAsia="仿宋_GB2312" w:hAnsi="宋体" w:hint="eastAsia"/>
          <w:sz w:val="32"/>
          <w:szCs w:val="32"/>
        </w:rPr>
        <w:t>2016</w:t>
      </w:r>
      <w:r>
        <w:rPr>
          <w:rFonts w:ascii="仿宋_GB2312" w:eastAsia="仿宋_GB2312" w:hAnsi="宋体" w:hint="eastAsia"/>
          <w:sz w:val="32"/>
          <w:szCs w:val="32"/>
        </w:rPr>
        <w:t>年</w:t>
      </w:r>
      <w:r>
        <w:rPr>
          <w:rFonts w:ascii="仿宋_GB2312" w:eastAsia="仿宋_GB2312" w:hAnsi="宋体" w:hint="eastAsia"/>
          <w:sz w:val="32"/>
          <w:szCs w:val="32"/>
        </w:rPr>
        <w:t>4</w:t>
      </w:r>
      <w:r>
        <w:rPr>
          <w:rFonts w:ascii="仿宋_GB2312" w:eastAsia="仿宋_GB2312" w:hAnsi="宋体" w:hint="eastAsia"/>
          <w:sz w:val="32"/>
          <w:szCs w:val="32"/>
        </w:rPr>
        <w:t>月主编了江苏省工程建设企业技术标准《</w:t>
      </w:r>
      <w:r>
        <w:rPr>
          <w:rFonts w:ascii="仿宋_GB2312" w:eastAsia="仿宋_GB2312" w:hAnsi="宋体" w:hint="eastAsia"/>
          <w:sz w:val="32"/>
          <w:szCs w:val="32"/>
        </w:rPr>
        <w:t>T63</w:t>
      </w:r>
      <w:r>
        <w:rPr>
          <w:rFonts w:ascii="仿宋_GB2312" w:eastAsia="仿宋_GB2312" w:hAnsi="宋体" w:hint="eastAsia"/>
          <w:sz w:val="32"/>
          <w:szCs w:val="32"/>
        </w:rPr>
        <w:t>热处理带肋高强钢筋混凝土结构技术规程》（</w:t>
      </w:r>
      <w:r>
        <w:rPr>
          <w:rFonts w:ascii="仿宋_GB2312" w:eastAsia="仿宋_GB2312" w:hAnsi="宋体" w:hint="eastAsia"/>
          <w:sz w:val="32"/>
          <w:szCs w:val="32"/>
        </w:rPr>
        <w:t>Q321182KBC001-2016</w:t>
      </w:r>
      <w:r>
        <w:rPr>
          <w:rFonts w:ascii="仿宋_GB2312" w:eastAsia="仿宋_GB2312" w:hAnsi="宋体" w:hint="eastAsia"/>
          <w:sz w:val="32"/>
          <w:szCs w:val="32"/>
        </w:rPr>
        <w:t>），并由江苏省工程建设标准站认证公告（公告编号：</w:t>
      </w:r>
      <w:r>
        <w:rPr>
          <w:rFonts w:ascii="仿宋_GB2312" w:eastAsia="仿宋_GB2312" w:hAnsi="宋体" w:hint="eastAsia"/>
          <w:sz w:val="32"/>
          <w:szCs w:val="32"/>
        </w:rPr>
        <w:t>321182-R046-2016</w:t>
      </w:r>
      <w:r>
        <w:rPr>
          <w:rFonts w:ascii="仿宋_GB2312" w:eastAsia="仿宋_GB2312" w:hAnsi="宋体" w:hint="eastAsia"/>
          <w:sz w:val="32"/>
          <w:szCs w:val="32"/>
        </w:rPr>
        <w:t>）；</w:t>
      </w:r>
      <w:r>
        <w:rPr>
          <w:rFonts w:ascii="仿宋_GB2312" w:eastAsia="仿宋_GB2312" w:hAnsi="宋体" w:hint="eastAsia"/>
          <w:sz w:val="32"/>
          <w:szCs w:val="32"/>
        </w:rPr>
        <w:t>2019</w:t>
      </w:r>
      <w:r>
        <w:rPr>
          <w:rFonts w:ascii="仿宋_GB2312" w:eastAsia="仿宋_GB2312" w:hAnsi="宋体" w:hint="eastAsia"/>
          <w:sz w:val="32"/>
          <w:szCs w:val="32"/>
        </w:rPr>
        <w:t>年</w:t>
      </w:r>
      <w:r>
        <w:rPr>
          <w:rFonts w:ascii="仿宋_GB2312" w:eastAsia="仿宋_GB2312" w:hAnsi="宋体" w:hint="eastAsia"/>
          <w:sz w:val="32"/>
          <w:szCs w:val="32"/>
        </w:rPr>
        <w:t>4</w:t>
      </w:r>
      <w:r>
        <w:rPr>
          <w:rFonts w:ascii="仿宋_GB2312" w:eastAsia="仿宋_GB2312" w:hAnsi="宋体" w:hint="eastAsia"/>
          <w:sz w:val="32"/>
          <w:szCs w:val="32"/>
        </w:rPr>
        <w:t>月进行了修编（公告编号：</w:t>
      </w:r>
      <w:r>
        <w:rPr>
          <w:rFonts w:ascii="仿宋_GB2312" w:eastAsia="仿宋_GB2312" w:hAnsi="宋体" w:hint="eastAsia"/>
          <w:sz w:val="32"/>
          <w:szCs w:val="32"/>
        </w:rPr>
        <w:t>32112-R046-2019</w:t>
      </w:r>
      <w:r>
        <w:rPr>
          <w:rFonts w:ascii="仿宋_GB2312" w:eastAsia="仿宋_GB2312" w:hAnsi="宋体" w:hint="eastAsia"/>
          <w:sz w:val="32"/>
          <w:szCs w:val="32"/>
        </w:rPr>
        <w:t>）；</w:t>
      </w:r>
      <w:r>
        <w:rPr>
          <w:rFonts w:ascii="仿宋_GB2312" w:eastAsia="仿宋_GB2312" w:hAnsi="宋体" w:hint="eastAsia"/>
          <w:sz w:val="32"/>
          <w:szCs w:val="32"/>
        </w:rPr>
        <w:t>2019</w:t>
      </w:r>
      <w:r>
        <w:rPr>
          <w:rFonts w:ascii="仿宋_GB2312" w:eastAsia="仿宋_GB2312" w:hAnsi="宋体" w:hint="eastAsia"/>
          <w:sz w:val="32"/>
          <w:szCs w:val="32"/>
        </w:rPr>
        <w:t>年</w:t>
      </w:r>
      <w:r>
        <w:rPr>
          <w:rFonts w:ascii="仿宋_GB2312" w:eastAsia="仿宋_GB2312" w:hAnsi="宋体" w:hint="eastAsia"/>
          <w:sz w:val="32"/>
          <w:szCs w:val="32"/>
        </w:rPr>
        <w:t>5</w:t>
      </w:r>
      <w:r>
        <w:rPr>
          <w:rFonts w:ascii="仿宋_GB2312" w:eastAsia="仿宋_GB2312" w:hAnsi="宋体" w:hint="eastAsia"/>
          <w:sz w:val="32"/>
          <w:szCs w:val="32"/>
        </w:rPr>
        <w:t>月主编了陕西省工程建设标准《新</w:t>
      </w:r>
      <w:r>
        <w:rPr>
          <w:rFonts w:ascii="仿宋_GB2312" w:eastAsia="仿宋_GB2312" w:hAnsi="宋体" w:hint="eastAsia"/>
          <w:sz w:val="32"/>
          <w:szCs w:val="32"/>
        </w:rPr>
        <w:t>型热处理带肋高强钢筋混凝土结构技术规程》</w:t>
      </w:r>
      <w:r>
        <w:rPr>
          <w:rFonts w:ascii="仿宋_GB2312" w:eastAsia="仿宋_GB2312" w:hAnsi="宋体" w:hint="eastAsia"/>
          <w:sz w:val="32"/>
          <w:szCs w:val="32"/>
        </w:rPr>
        <w:t>DBJ61/T157-2019</w:t>
      </w:r>
      <w:r>
        <w:rPr>
          <w:rFonts w:ascii="仿宋_GB2312" w:eastAsia="仿宋_GB2312" w:hAnsi="宋体" w:hint="eastAsia"/>
          <w:sz w:val="32"/>
          <w:szCs w:val="32"/>
        </w:rPr>
        <w:t>；</w:t>
      </w:r>
      <w:r>
        <w:rPr>
          <w:rFonts w:ascii="仿宋_GB2312" w:eastAsia="仿宋_GB2312" w:hAnsi="宋体" w:hint="eastAsia"/>
          <w:sz w:val="32"/>
          <w:szCs w:val="32"/>
        </w:rPr>
        <w:t>2019</w:t>
      </w:r>
      <w:r>
        <w:rPr>
          <w:rFonts w:ascii="仿宋_GB2312" w:eastAsia="仿宋_GB2312" w:hAnsi="宋体" w:hint="eastAsia"/>
          <w:sz w:val="32"/>
          <w:szCs w:val="32"/>
        </w:rPr>
        <w:t>年</w:t>
      </w:r>
      <w:r>
        <w:rPr>
          <w:rFonts w:ascii="仿宋_GB2312" w:eastAsia="仿宋_GB2312" w:hAnsi="宋体" w:hint="eastAsia"/>
          <w:sz w:val="32"/>
          <w:szCs w:val="32"/>
        </w:rPr>
        <w:t>10</w:t>
      </w:r>
      <w:r>
        <w:rPr>
          <w:rFonts w:ascii="仿宋_GB2312" w:eastAsia="仿宋_GB2312" w:hAnsi="宋体" w:hint="eastAsia"/>
          <w:sz w:val="32"/>
          <w:szCs w:val="32"/>
        </w:rPr>
        <w:t>月主编了甘肃省工程建设地方标准《热处理带肋高强钢筋混凝土结构技术规程》（</w:t>
      </w:r>
      <w:r>
        <w:rPr>
          <w:rFonts w:ascii="仿宋_GB2312" w:eastAsia="仿宋_GB2312" w:hAnsi="宋体" w:hint="eastAsia"/>
          <w:sz w:val="32"/>
          <w:szCs w:val="32"/>
        </w:rPr>
        <w:t>DB62/T 3197-2020</w:t>
      </w:r>
      <w:r>
        <w:rPr>
          <w:rFonts w:ascii="仿宋_GB2312" w:eastAsia="仿宋_GB2312" w:hAnsi="宋体" w:hint="eastAsia"/>
          <w:sz w:val="32"/>
          <w:szCs w:val="32"/>
        </w:rPr>
        <w:t>）；凭借《新型钢筋性能机理及其在人防工程中的应用研究》荣获中国人民解放军军队科技进步壹等奖。拥有发明专利</w:t>
      </w:r>
      <w:r>
        <w:rPr>
          <w:rFonts w:ascii="仿宋_GB2312" w:eastAsia="仿宋_GB2312" w:hAnsi="宋体" w:hint="eastAsia"/>
          <w:sz w:val="32"/>
          <w:szCs w:val="32"/>
        </w:rPr>
        <w:t>17</w:t>
      </w:r>
      <w:r>
        <w:rPr>
          <w:rFonts w:ascii="仿宋_GB2312" w:eastAsia="仿宋_GB2312" w:hAnsi="宋体" w:hint="eastAsia"/>
          <w:sz w:val="32"/>
          <w:szCs w:val="32"/>
        </w:rPr>
        <w:t>件，实用新型</w:t>
      </w:r>
      <w:r>
        <w:rPr>
          <w:rFonts w:ascii="仿宋_GB2312" w:eastAsia="仿宋_GB2312" w:hAnsi="宋体" w:hint="eastAsia"/>
          <w:sz w:val="32"/>
          <w:szCs w:val="32"/>
        </w:rPr>
        <w:t>6</w:t>
      </w:r>
      <w:r>
        <w:rPr>
          <w:rFonts w:ascii="仿宋_GB2312" w:eastAsia="仿宋_GB2312" w:hAnsi="宋体" w:hint="eastAsia"/>
          <w:sz w:val="32"/>
          <w:szCs w:val="32"/>
        </w:rPr>
        <w:t>件</w:t>
      </w:r>
    </w:p>
    <w:p w:rsidR="00D0198C" w:rsidRDefault="00BF0CB6">
      <w:pPr>
        <w:tabs>
          <w:tab w:val="left" w:pos="360"/>
        </w:tabs>
        <w:snapToGrid w:val="0"/>
        <w:spacing w:line="360" w:lineRule="auto"/>
        <w:rPr>
          <w:rFonts w:ascii="仿宋_GB2312" w:eastAsia="仿宋_GB2312" w:hAnsi="宋体"/>
          <w:b/>
          <w:bCs/>
          <w:sz w:val="36"/>
          <w:szCs w:val="36"/>
        </w:rPr>
      </w:pPr>
      <w:r>
        <w:rPr>
          <w:rFonts w:ascii="仿宋_GB2312" w:eastAsia="仿宋_GB2312" w:hAnsi="宋体" w:hint="eastAsia"/>
          <w:b/>
          <w:bCs/>
          <w:sz w:val="36"/>
          <w:szCs w:val="36"/>
        </w:rPr>
        <w:lastRenderedPageBreak/>
        <w:t>二、主要技术内容</w:t>
      </w:r>
    </w:p>
    <w:p w:rsidR="00D0198C" w:rsidRDefault="00BF0CB6">
      <w:pPr>
        <w:tabs>
          <w:tab w:val="left" w:pos="360"/>
        </w:tabs>
        <w:snapToGrid w:val="0"/>
        <w:spacing w:line="360" w:lineRule="auto"/>
        <w:ind w:firstLineChars="202" w:firstLine="646"/>
        <w:rPr>
          <w:rFonts w:ascii="仿宋_GB2312" w:eastAsia="仿宋_GB2312" w:hAnsi="宋体"/>
          <w:sz w:val="32"/>
          <w:szCs w:val="32"/>
        </w:rPr>
      </w:pPr>
      <w:r>
        <w:rPr>
          <w:rFonts w:ascii="仿宋_GB2312" w:eastAsia="仿宋_GB2312" w:hAnsi="宋体" w:hint="eastAsia"/>
          <w:sz w:val="32"/>
          <w:szCs w:val="32"/>
        </w:rPr>
        <w:t>大力推广高强钢筋的应用符合国家法律、法规和节能减排政策要求，推动我国高强钢筋的发展；同时符合我国提出碳达峰、碳中和目标，一方面是我国实现可持续发展的内在要求，是加强生态文明建设、实现美丽中国目标的重要抓手，另一方面也是我国履行负责任大国、推动构建人类命运共同体的重大历史担当。</w:t>
      </w:r>
    </w:p>
    <w:p w:rsidR="00D0198C" w:rsidRDefault="00BF0CB6">
      <w:pPr>
        <w:tabs>
          <w:tab w:val="left" w:pos="360"/>
        </w:tabs>
        <w:snapToGrid w:val="0"/>
        <w:spacing w:line="360" w:lineRule="auto"/>
        <w:ind w:firstLineChars="202" w:firstLine="646"/>
        <w:rPr>
          <w:rFonts w:ascii="仿宋_GB2312" w:eastAsia="仿宋_GB2312" w:hAnsi="宋体"/>
          <w:sz w:val="32"/>
          <w:szCs w:val="32"/>
        </w:rPr>
      </w:pPr>
      <w:r>
        <w:rPr>
          <w:rFonts w:ascii="仿宋_GB2312" w:eastAsia="仿宋_GB2312" w:hAnsi="宋体" w:hint="eastAsia"/>
          <w:sz w:val="32"/>
          <w:szCs w:val="32"/>
        </w:rPr>
        <w:t>T6</w:t>
      </w:r>
      <w:r>
        <w:rPr>
          <w:rFonts w:ascii="仿宋_GB2312" w:eastAsia="仿宋_GB2312" w:hAnsi="宋体" w:hint="eastAsia"/>
          <w:sz w:val="32"/>
          <w:szCs w:val="32"/>
        </w:rPr>
        <w:t>高强钢筋是屈服强度等级为</w:t>
      </w:r>
      <w:r>
        <w:rPr>
          <w:rFonts w:ascii="仿宋_GB2312" w:eastAsia="仿宋_GB2312" w:hAnsi="宋体" w:hint="eastAsia"/>
          <w:sz w:val="32"/>
          <w:szCs w:val="32"/>
        </w:rPr>
        <w:t>660MPa</w:t>
      </w:r>
      <w:r>
        <w:rPr>
          <w:rFonts w:ascii="仿宋_GB2312" w:eastAsia="仿宋_GB2312" w:hAnsi="宋体" w:hint="eastAsia"/>
          <w:sz w:val="32"/>
          <w:szCs w:val="32"/>
        </w:rPr>
        <w:t>的热处理带肋钢筋，与现在工程中普遍应用的</w:t>
      </w:r>
      <w:r>
        <w:rPr>
          <w:rFonts w:ascii="仿宋_GB2312" w:eastAsia="仿宋_GB2312" w:hAnsi="宋体" w:hint="eastAsia"/>
          <w:sz w:val="32"/>
          <w:szCs w:val="32"/>
        </w:rPr>
        <w:t>HRB400</w:t>
      </w:r>
      <w:r>
        <w:rPr>
          <w:rFonts w:ascii="仿宋_GB2312" w:eastAsia="仿宋_GB2312" w:hAnsi="宋体" w:hint="eastAsia"/>
          <w:sz w:val="32"/>
          <w:szCs w:val="32"/>
        </w:rPr>
        <w:t>钢筋相比，不但具有较高的抗拉强度，而且保持了普通低碳钢的屈服台阶，同时具有大流变、大延伸率的特点。推广</w:t>
      </w:r>
      <w:r>
        <w:rPr>
          <w:rFonts w:ascii="仿宋_GB2312" w:eastAsia="仿宋_GB2312" w:hAnsi="宋体" w:hint="eastAsia"/>
          <w:sz w:val="32"/>
          <w:szCs w:val="32"/>
        </w:rPr>
        <w:t>660MPa</w:t>
      </w:r>
      <w:r>
        <w:rPr>
          <w:rFonts w:ascii="仿宋_GB2312" w:eastAsia="仿宋_GB2312" w:hAnsi="宋体" w:hint="eastAsia"/>
          <w:sz w:val="32"/>
          <w:szCs w:val="32"/>
        </w:rPr>
        <w:t>钢筋在建设工程中的应用，能够</w:t>
      </w:r>
      <w:r>
        <w:rPr>
          <w:rFonts w:ascii="仿宋_GB2312" w:eastAsia="仿宋_GB2312" w:hAnsi="宋体" w:hint="eastAsia"/>
          <w:sz w:val="32"/>
          <w:szCs w:val="32"/>
        </w:rPr>
        <w:t>有效提升钢筋混凝土结构的安全性、经济性、灵活性和适用性。从长远看，不仅能够主推钢铁产业的转型升级，又有利于节能降耗，具有显著的经济效益和深远的社会效益。</w:t>
      </w:r>
    </w:p>
    <w:p w:rsidR="00D0198C" w:rsidRDefault="00BF0CB6">
      <w:pPr>
        <w:tabs>
          <w:tab w:val="left" w:pos="360"/>
        </w:tabs>
        <w:snapToGrid w:val="0"/>
        <w:spacing w:line="360" w:lineRule="auto"/>
        <w:ind w:firstLineChars="202" w:firstLine="646"/>
        <w:rPr>
          <w:rFonts w:ascii="仿宋_GB2312" w:eastAsia="仿宋_GB2312" w:hAnsi="宋体"/>
          <w:sz w:val="32"/>
          <w:szCs w:val="32"/>
        </w:rPr>
      </w:pPr>
      <w:r>
        <w:rPr>
          <w:rFonts w:ascii="仿宋_GB2312" w:eastAsia="仿宋_GB2312" w:hAnsi="宋体" w:hint="eastAsia"/>
          <w:sz w:val="32"/>
          <w:szCs w:val="32"/>
        </w:rPr>
        <w:t>应用</w:t>
      </w:r>
      <w:r>
        <w:rPr>
          <w:rFonts w:ascii="仿宋_GB2312" w:eastAsia="仿宋_GB2312" w:hAnsi="宋体" w:hint="eastAsia"/>
          <w:sz w:val="32"/>
          <w:szCs w:val="32"/>
        </w:rPr>
        <w:t>660MPa</w:t>
      </w:r>
      <w:r>
        <w:rPr>
          <w:rFonts w:ascii="仿宋_GB2312" w:eastAsia="仿宋_GB2312" w:hAnsi="宋体" w:hint="eastAsia"/>
          <w:sz w:val="32"/>
          <w:szCs w:val="32"/>
        </w:rPr>
        <w:t>高强钢筋代替</w:t>
      </w:r>
      <w:r>
        <w:rPr>
          <w:rFonts w:ascii="仿宋_GB2312" w:eastAsia="仿宋_GB2312" w:hAnsi="宋体" w:hint="eastAsia"/>
          <w:sz w:val="32"/>
          <w:szCs w:val="32"/>
        </w:rPr>
        <w:t>HRB400</w:t>
      </w:r>
      <w:r>
        <w:rPr>
          <w:rFonts w:ascii="仿宋_GB2312" w:eastAsia="仿宋_GB2312" w:hAnsi="宋体" w:hint="eastAsia"/>
          <w:sz w:val="32"/>
          <w:szCs w:val="32"/>
        </w:rPr>
        <w:t>钢筋按</w:t>
      </w:r>
      <w:r>
        <w:rPr>
          <w:rFonts w:ascii="仿宋_GB2312" w:eastAsia="仿宋_GB2312" w:hAnsi="宋体" w:hint="eastAsia"/>
          <w:sz w:val="32"/>
          <w:szCs w:val="32"/>
        </w:rPr>
        <w:t>30%</w:t>
      </w:r>
      <w:r>
        <w:rPr>
          <w:rFonts w:ascii="仿宋_GB2312" w:eastAsia="仿宋_GB2312" w:hAnsi="宋体" w:hint="eastAsia"/>
          <w:sz w:val="32"/>
          <w:szCs w:val="32"/>
        </w:rPr>
        <w:t>节材率，材料损耗</w:t>
      </w:r>
      <w:r>
        <w:rPr>
          <w:rFonts w:ascii="仿宋_GB2312" w:eastAsia="仿宋_GB2312" w:hAnsi="宋体" w:hint="eastAsia"/>
          <w:sz w:val="32"/>
          <w:szCs w:val="32"/>
        </w:rPr>
        <w:t>3%</w:t>
      </w:r>
      <w:r>
        <w:rPr>
          <w:rFonts w:ascii="仿宋_GB2312" w:eastAsia="仿宋_GB2312" w:hAnsi="宋体" w:hint="eastAsia"/>
          <w:sz w:val="32"/>
          <w:szCs w:val="32"/>
        </w:rPr>
        <w:t>、钢筋工地现场费用</w:t>
      </w:r>
      <w:r>
        <w:rPr>
          <w:rFonts w:ascii="仿宋_GB2312" w:eastAsia="仿宋_GB2312" w:hAnsi="宋体" w:hint="eastAsia"/>
          <w:sz w:val="32"/>
          <w:szCs w:val="32"/>
        </w:rPr>
        <w:t>HRB400</w:t>
      </w:r>
      <w:r>
        <w:rPr>
          <w:rFonts w:ascii="仿宋_GB2312" w:eastAsia="仿宋_GB2312" w:hAnsi="宋体" w:hint="eastAsia"/>
          <w:sz w:val="32"/>
          <w:szCs w:val="32"/>
        </w:rPr>
        <w:t>按</w:t>
      </w:r>
      <w:r>
        <w:rPr>
          <w:rFonts w:ascii="仿宋_GB2312" w:eastAsia="仿宋_GB2312" w:hAnsi="宋体" w:hint="eastAsia"/>
          <w:sz w:val="32"/>
          <w:szCs w:val="32"/>
        </w:rPr>
        <w:t>1200</w:t>
      </w:r>
      <w:r>
        <w:rPr>
          <w:rFonts w:ascii="仿宋_GB2312" w:eastAsia="仿宋_GB2312" w:hAnsi="宋体" w:hint="eastAsia"/>
          <w:sz w:val="32"/>
          <w:szCs w:val="32"/>
        </w:rPr>
        <w:t>元</w:t>
      </w:r>
      <w:r>
        <w:rPr>
          <w:rFonts w:ascii="仿宋_GB2312" w:eastAsia="仿宋_GB2312" w:hAnsi="宋体" w:hint="eastAsia"/>
          <w:sz w:val="32"/>
          <w:szCs w:val="32"/>
        </w:rPr>
        <w:t>/</w:t>
      </w:r>
      <w:r>
        <w:rPr>
          <w:rFonts w:ascii="仿宋_GB2312" w:eastAsia="仿宋_GB2312" w:hAnsi="宋体" w:hint="eastAsia"/>
          <w:sz w:val="32"/>
          <w:szCs w:val="32"/>
        </w:rPr>
        <w:t>吨，考虑</w:t>
      </w:r>
      <w:r>
        <w:rPr>
          <w:rFonts w:ascii="仿宋_GB2312" w:eastAsia="仿宋_GB2312" w:hint="eastAsia"/>
          <w:sz w:val="32"/>
          <w:szCs w:val="28"/>
        </w:rPr>
        <w:t>660MPa</w:t>
      </w:r>
      <w:r>
        <w:rPr>
          <w:rFonts w:ascii="仿宋_GB2312" w:eastAsia="仿宋_GB2312" w:hint="eastAsia"/>
          <w:sz w:val="32"/>
          <w:szCs w:val="28"/>
        </w:rPr>
        <w:t>级</w:t>
      </w:r>
      <w:r>
        <w:rPr>
          <w:rFonts w:ascii="仿宋_GB2312" w:eastAsia="仿宋_GB2312" w:hAnsi="宋体" w:hint="eastAsia"/>
          <w:sz w:val="32"/>
          <w:szCs w:val="32"/>
        </w:rPr>
        <w:t>钢筋是新材料给现场制作人员补助按</w:t>
      </w:r>
      <w:r>
        <w:rPr>
          <w:rFonts w:ascii="仿宋_GB2312" w:eastAsia="仿宋_GB2312" w:hAnsi="宋体" w:hint="eastAsia"/>
          <w:sz w:val="32"/>
          <w:szCs w:val="32"/>
        </w:rPr>
        <w:t>1500</w:t>
      </w:r>
      <w:r>
        <w:rPr>
          <w:rFonts w:ascii="仿宋_GB2312" w:eastAsia="仿宋_GB2312" w:hAnsi="宋体" w:hint="eastAsia"/>
          <w:sz w:val="32"/>
          <w:szCs w:val="32"/>
        </w:rPr>
        <w:t>元</w:t>
      </w:r>
      <w:r>
        <w:rPr>
          <w:rFonts w:ascii="仿宋_GB2312" w:eastAsia="仿宋_GB2312" w:hAnsi="宋体" w:hint="eastAsia"/>
          <w:sz w:val="32"/>
          <w:szCs w:val="32"/>
        </w:rPr>
        <w:t>/</w:t>
      </w:r>
      <w:r>
        <w:rPr>
          <w:rFonts w:ascii="仿宋_GB2312" w:eastAsia="仿宋_GB2312" w:hAnsi="宋体" w:hint="eastAsia"/>
          <w:sz w:val="32"/>
          <w:szCs w:val="32"/>
        </w:rPr>
        <w:t>吨核算，综合成本节约</w:t>
      </w:r>
      <w:r>
        <w:rPr>
          <w:rFonts w:ascii="仿宋_GB2312" w:eastAsia="仿宋_GB2312" w:hAnsi="宋体" w:hint="eastAsia"/>
          <w:sz w:val="32"/>
          <w:szCs w:val="32"/>
        </w:rPr>
        <w:t>600</w:t>
      </w:r>
      <w:r>
        <w:rPr>
          <w:rFonts w:ascii="仿宋_GB2312" w:eastAsia="仿宋_GB2312" w:hAnsi="宋体" w:hint="eastAsia"/>
          <w:sz w:val="32"/>
          <w:szCs w:val="32"/>
        </w:rPr>
        <w:t>余元</w:t>
      </w:r>
      <w:r>
        <w:rPr>
          <w:rFonts w:ascii="仿宋_GB2312" w:eastAsia="仿宋_GB2312" w:hAnsi="宋体" w:hint="eastAsia"/>
          <w:sz w:val="32"/>
          <w:szCs w:val="32"/>
        </w:rPr>
        <w:t>/</w:t>
      </w:r>
      <w:r>
        <w:rPr>
          <w:rFonts w:ascii="仿宋_GB2312" w:eastAsia="仿宋_GB2312" w:hAnsi="宋体" w:hint="eastAsia"/>
          <w:sz w:val="32"/>
          <w:szCs w:val="32"/>
        </w:rPr>
        <w:t>吨、综合成本节材率达</w:t>
      </w:r>
      <w:r>
        <w:rPr>
          <w:rFonts w:ascii="仿宋_GB2312" w:eastAsia="仿宋_GB2312" w:hAnsi="宋体" w:hint="eastAsia"/>
          <w:sz w:val="32"/>
          <w:szCs w:val="32"/>
        </w:rPr>
        <w:t>12%</w:t>
      </w:r>
      <w:r>
        <w:rPr>
          <w:rFonts w:ascii="仿宋_GB2312" w:eastAsia="仿宋_GB2312" w:hAnsi="宋体" w:hint="eastAsia"/>
          <w:sz w:val="32"/>
          <w:szCs w:val="32"/>
        </w:rPr>
        <w:t>以上。</w:t>
      </w:r>
    </w:p>
    <w:p w:rsidR="00D0198C" w:rsidRDefault="00BF0CB6">
      <w:pPr>
        <w:tabs>
          <w:tab w:val="left" w:pos="360"/>
        </w:tabs>
        <w:snapToGrid w:val="0"/>
        <w:spacing w:line="360" w:lineRule="auto"/>
        <w:ind w:firstLineChars="202" w:firstLine="646"/>
        <w:rPr>
          <w:rFonts w:ascii="仿宋_GB2312" w:eastAsia="仿宋_GB2312" w:hAnsi="宋体"/>
          <w:sz w:val="32"/>
          <w:szCs w:val="32"/>
        </w:rPr>
      </w:pPr>
      <w:r>
        <w:rPr>
          <w:rFonts w:ascii="仿宋_GB2312" w:eastAsia="仿宋_GB2312" w:hAnsi="宋体" w:hint="eastAsia"/>
          <w:sz w:val="32"/>
          <w:szCs w:val="32"/>
        </w:rPr>
        <w:t>结合绿色建筑相关标准中</w:t>
      </w:r>
      <w:r>
        <w:rPr>
          <w:rFonts w:ascii="仿宋_GB2312" w:eastAsia="仿宋_GB2312" w:hAnsi="宋体" w:hint="eastAsia"/>
          <w:sz w:val="32"/>
          <w:szCs w:val="32"/>
        </w:rPr>
        <w:t>25%</w:t>
      </w:r>
      <w:r>
        <w:rPr>
          <w:rFonts w:ascii="仿宋_GB2312" w:eastAsia="仿宋_GB2312" w:hAnsi="宋体" w:hint="eastAsia"/>
          <w:sz w:val="32"/>
          <w:szCs w:val="32"/>
        </w:rPr>
        <w:t>的替换率扩大推广应用，据统计</w:t>
      </w:r>
      <w:r>
        <w:rPr>
          <w:rFonts w:ascii="仿宋_GB2312" w:eastAsia="仿宋_GB2312" w:hAnsi="宋体" w:hint="eastAsia"/>
          <w:sz w:val="32"/>
          <w:szCs w:val="32"/>
        </w:rPr>
        <w:t>2022</w:t>
      </w:r>
      <w:r>
        <w:rPr>
          <w:rFonts w:ascii="仿宋_GB2312" w:eastAsia="仿宋_GB2312" w:hAnsi="宋体" w:hint="eastAsia"/>
          <w:sz w:val="32"/>
          <w:szCs w:val="32"/>
        </w:rPr>
        <w:t>年全国中钢协会会员单位螺纹钢筋总产量达到</w:t>
      </w:r>
      <w:r>
        <w:rPr>
          <w:rFonts w:ascii="仿宋_GB2312" w:eastAsia="仿宋_GB2312" w:hAnsi="宋体" w:hint="eastAsia"/>
          <w:sz w:val="32"/>
          <w:szCs w:val="32"/>
        </w:rPr>
        <w:lastRenderedPageBreak/>
        <w:t>2.2</w:t>
      </w:r>
      <w:r>
        <w:rPr>
          <w:rFonts w:ascii="仿宋_GB2312" w:eastAsia="仿宋_GB2312" w:hAnsi="宋体" w:hint="eastAsia"/>
          <w:sz w:val="32"/>
          <w:szCs w:val="32"/>
        </w:rPr>
        <w:t>亿吨。若以</w:t>
      </w:r>
      <w:r>
        <w:rPr>
          <w:rFonts w:ascii="仿宋_GB2312" w:eastAsia="仿宋_GB2312" w:hAnsi="宋体" w:hint="eastAsia"/>
          <w:sz w:val="32"/>
          <w:szCs w:val="32"/>
        </w:rPr>
        <w:t>660MPa</w:t>
      </w:r>
      <w:r>
        <w:rPr>
          <w:rFonts w:ascii="仿宋_GB2312" w:eastAsia="仿宋_GB2312" w:hAnsi="宋体" w:hint="eastAsia"/>
          <w:sz w:val="32"/>
          <w:szCs w:val="32"/>
        </w:rPr>
        <w:t>高强钢筋替换</w:t>
      </w:r>
      <w:r>
        <w:rPr>
          <w:rFonts w:ascii="仿宋_GB2312" w:eastAsia="仿宋_GB2312" w:hAnsi="宋体" w:hint="eastAsia"/>
          <w:sz w:val="32"/>
          <w:szCs w:val="32"/>
        </w:rPr>
        <w:t>HRB400</w:t>
      </w:r>
      <w:r>
        <w:rPr>
          <w:rFonts w:ascii="仿宋_GB2312" w:eastAsia="仿宋_GB2312" w:hAnsi="宋体" w:hint="eastAsia"/>
          <w:sz w:val="32"/>
          <w:szCs w:val="32"/>
        </w:rPr>
        <w:t>钢筋，按照</w:t>
      </w:r>
      <w:r>
        <w:rPr>
          <w:rFonts w:ascii="仿宋_GB2312" w:eastAsia="仿宋_GB2312" w:hAnsi="宋体" w:hint="eastAsia"/>
          <w:sz w:val="32"/>
          <w:szCs w:val="32"/>
        </w:rPr>
        <w:t>25%</w:t>
      </w:r>
      <w:r>
        <w:rPr>
          <w:rFonts w:ascii="仿宋_GB2312" w:eastAsia="仿宋_GB2312" w:hAnsi="宋体" w:hint="eastAsia"/>
          <w:sz w:val="32"/>
          <w:szCs w:val="32"/>
        </w:rPr>
        <w:t>钢筋替换率计算，可替换</w:t>
      </w:r>
      <w:r>
        <w:rPr>
          <w:rFonts w:ascii="仿宋_GB2312" w:eastAsia="仿宋_GB2312" w:hAnsi="宋体" w:hint="eastAsia"/>
          <w:sz w:val="32"/>
          <w:szCs w:val="32"/>
        </w:rPr>
        <w:t>5500</w:t>
      </w:r>
      <w:r>
        <w:rPr>
          <w:rFonts w:ascii="仿宋_GB2312" w:eastAsia="仿宋_GB2312" w:hAnsi="宋体" w:hint="eastAsia"/>
          <w:sz w:val="32"/>
          <w:szCs w:val="32"/>
        </w:rPr>
        <w:t>万吨</w:t>
      </w:r>
      <w:r>
        <w:rPr>
          <w:rFonts w:ascii="仿宋_GB2312" w:eastAsia="仿宋_GB2312" w:hAnsi="宋体" w:hint="eastAsia"/>
          <w:sz w:val="32"/>
          <w:szCs w:val="32"/>
        </w:rPr>
        <w:t>HRB400</w:t>
      </w:r>
      <w:r>
        <w:rPr>
          <w:rFonts w:ascii="仿宋_GB2312" w:eastAsia="仿宋_GB2312" w:hAnsi="宋体" w:hint="eastAsia"/>
          <w:sz w:val="32"/>
          <w:szCs w:val="32"/>
        </w:rPr>
        <w:t>钢筋。全年可节省</w:t>
      </w:r>
      <w:r>
        <w:rPr>
          <w:rFonts w:ascii="仿宋_GB2312" w:eastAsia="仿宋_GB2312" w:hAnsi="宋体" w:hint="eastAsia"/>
          <w:sz w:val="32"/>
          <w:szCs w:val="32"/>
        </w:rPr>
        <w:t>2360</w:t>
      </w:r>
      <w:r>
        <w:rPr>
          <w:rFonts w:ascii="仿宋_GB2312" w:eastAsia="仿宋_GB2312" w:hAnsi="宋体" w:hint="eastAsia"/>
          <w:sz w:val="32"/>
          <w:szCs w:val="32"/>
        </w:rPr>
        <w:t>万吨用钢量</w:t>
      </w:r>
      <w:r>
        <w:rPr>
          <w:rFonts w:ascii="仿宋_GB2312" w:eastAsia="仿宋_GB2312" w:hAnsi="宋体" w:hint="eastAsia"/>
          <w:sz w:val="32"/>
          <w:szCs w:val="32"/>
        </w:rPr>
        <w:t>(</w:t>
      </w:r>
      <w:r>
        <w:rPr>
          <w:rFonts w:ascii="仿宋_GB2312" w:eastAsia="仿宋_GB2312" w:hAnsi="宋体" w:hint="eastAsia"/>
          <w:sz w:val="32"/>
          <w:szCs w:val="32"/>
        </w:rPr>
        <w:t>按节材率</w:t>
      </w:r>
      <w:r>
        <w:rPr>
          <w:rFonts w:ascii="仿宋_GB2312" w:eastAsia="仿宋_GB2312" w:hAnsi="宋体" w:hint="eastAsia"/>
          <w:sz w:val="32"/>
          <w:szCs w:val="32"/>
        </w:rPr>
        <w:t>30%</w:t>
      </w:r>
      <w:r>
        <w:rPr>
          <w:rFonts w:ascii="仿宋_GB2312" w:eastAsia="仿宋_GB2312" w:hAnsi="宋体" w:hint="eastAsia"/>
          <w:sz w:val="32"/>
          <w:szCs w:val="32"/>
        </w:rPr>
        <w:t>计算</w:t>
      </w:r>
      <w:r>
        <w:rPr>
          <w:rFonts w:ascii="仿宋_GB2312" w:eastAsia="仿宋_GB2312" w:hAnsi="宋体" w:hint="eastAsia"/>
          <w:sz w:val="32"/>
          <w:szCs w:val="32"/>
        </w:rPr>
        <w:t>)</w:t>
      </w:r>
      <w:r>
        <w:rPr>
          <w:rFonts w:ascii="仿宋_GB2312" w:eastAsia="仿宋_GB2312" w:hAnsi="宋体" w:hint="eastAsia"/>
          <w:sz w:val="32"/>
          <w:szCs w:val="32"/>
        </w:rPr>
        <w:t>，减少铁矿石消耗</w:t>
      </w:r>
      <w:r>
        <w:rPr>
          <w:rFonts w:ascii="仿宋_GB2312" w:eastAsia="仿宋_GB2312" w:hAnsi="宋体" w:hint="eastAsia"/>
          <w:sz w:val="32"/>
          <w:szCs w:val="32"/>
        </w:rPr>
        <w:t>3800</w:t>
      </w:r>
      <w:r>
        <w:rPr>
          <w:rFonts w:ascii="仿宋_GB2312" w:eastAsia="仿宋_GB2312" w:hAnsi="宋体" w:hint="eastAsia"/>
          <w:sz w:val="32"/>
          <w:szCs w:val="32"/>
        </w:rPr>
        <w:t>万吨</w:t>
      </w:r>
      <w:r>
        <w:rPr>
          <w:rFonts w:ascii="仿宋_GB2312" w:eastAsia="仿宋_GB2312" w:hAnsi="宋体" w:hint="eastAsia"/>
          <w:sz w:val="32"/>
          <w:szCs w:val="32"/>
        </w:rPr>
        <w:t>(</w:t>
      </w:r>
      <w:r>
        <w:rPr>
          <w:rFonts w:ascii="仿宋_GB2312" w:eastAsia="仿宋_GB2312" w:hAnsi="宋体" w:hint="eastAsia"/>
          <w:sz w:val="32"/>
          <w:szCs w:val="32"/>
        </w:rPr>
        <w:t>按吨钢消耗</w:t>
      </w:r>
      <w:r>
        <w:rPr>
          <w:rFonts w:ascii="仿宋_GB2312" w:eastAsia="仿宋_GB2312" w:hAnsi="宋体" w:hint="eastAsia"/>
          <w:sz w:val="32"/>
          <w:szCs w:val="32"/>
        </w:rPr>
        <w:t>1.6</w:t>
      </w:r>
      <w:r>
        <w:rPr>
          <w:rFonts w:ascii="仿宋_GB2312" w:eastAsia="仿宋_GB2312" w:hAnsi="宋体" w:hint="eastAsia"/>
          <w:sz w:val="32"/>
          <w:szCs w:val="32"/>
        </w:rPr>
        <w:t>吨矿石计算</w:t>
      </w:r>
      <w:r>
        <w:rPr>
          <w:rFonts w:ascii="仿宋_GB2312" w:eastAsia="仿宋_GB2312" w:hAnsi="宋体" w:hint="eastAsia"/>
          <w:sz w:val="32"/>
          <w:szCs w:val="32"/>
        </w:rPr>
        <w:t>)</w:t>
      </w:r>
      <w:r>
        <w:rPr>
          <w:rFonts w:ascii="仿宋_GB2312" w:eastAsia="仿宋_GB2312" w:hAnsi="宋体" w:hint="eastAsia"/>
          <w:sz w:val="32"/>
          <w:szCs w:val="32"/>
        </w:rPr>
        <w:t>、节省标准电煤达</w:t>
      </w:r>
      <w:r>
        <w:rPr>
          <w:rFonts w:ascii="仿宋_GB2312" w:eastAsia="仿宋_GB2312" w:hAnsi="宋体" w:hint="eastAsia"/>
          <w:sz w:val="32"/>
          <w:szCs w:val="32"/>
        </w:rPr>
        <w:t>1600</w:t>
      </w:r>
      <w:r>
        <w:rPr>
          <w:rFonts w:ascii="仿宋_GB2312" w:eastAsia="仿宋_GB2312" w:hAnsi="宋体" w:hint="eastAsia"/>
          <w:sz w:val="32"/>
          <w:szCs w:val="32"/>
        </w:rPr>
        <w:t>万吨</w:t>
      </w:r>
      <w:r>
        <w:rPr>
          <w:rFonts w:ascii="仿宋_GB2312" w:eastAsia="仿宋_GB2312" w:hAnsi="宋体" w:hint="eastAsia"/>
          <w:sz w:val="32"/>
          <w:szCs w:val="32"/>
        </w:rPr>
        <w:t>(</w:t>
      </w:r>
      <w:r>
        <w:rPr>
          <w:rFonts w:ascii="仿宋_GB2312" w:eastAsia="仿宋_GB2312" w:hAnsi="宋体" w:hint="eastAsia"/>
          <w:sz w:val="32"/>
          <w:szCs w:val="32"/>
        </w:rPr>
        <w:t>按吨钢耗能</w:t>
      </w:r>
      <w:r>
        <w:rPr>
          <w:rFonts w:ascii="仿宋_GB2312" w:eastAsia="仿宋_GB2312" w:hAnsi="宋体" w:hint="eastAsia"/>
          <w:sz w:val="32"/>
          <w:szCs w:val="32"/>
        </w:rPr>
        <w:t>0.69</w:t>
      </w:r>
      <w:r>
        <w:rPr>
          <w:rFonts w:ascii="仿宋_GB2312" w:eastAsia="仿宋_GB2312" w:hAnsi="宋体" w:hint="eastAsia"/>
          <w:sz w:val="32"/>
          <w:szCs w:val="32"/>
        </w:rPr>
        <w:t>吨煤计算</w:t>
      </w:r>
      <w:r>
        <w:rPr>
          <w:rFonts w:ascii="仿宋_GB2312" w:eastAsia="仿宋_GB2312" w:hAnsi="宋体" w:hint="eastAsia"/>
          <w:sz w:val="32"/>
          <w:szCs w:val="32"/>
        </w:rPr>
        <w:t>)</w:t>
      </w:r>
      <w:r>
        <w:rPr>
          <w:rFonts w:ascii="仿宋_GB2312" w:eastAsia="仿宋_GB2312" w:hAnsi="宋体" w:hint="eastAsia"/>
          <w:sz w:val="32"/>
          <w:szCs w:val="32"/>
        </w:rPr>
        <w:t>，减少水消耗</w:t>
      </w:r>
      <w:r>
        <w:rPr>
          <w:rFonts w:ascii="仿宋_GB2312" w:eastAsia="仿宋_GB2312" w:hAnsi="宋体" w:hint="eastAsia"/>
          <w:sz w:val="32"/>
          <w:szCs w:val="32"/>
        </w:rPr>
        <w:t>9400</w:t>
      </w:r>
      <w:r>
        <w:rPr>
          <w:rFonts w:ascii="仿宋_GB2312" w:eastAsia="仿宋_GB2312" w:hAnsi="宋体" w:hint="eastAsia"/>
          <w:sz w:val="32"/>
          <w:szCs w:val="32"/>
        </w:rPr>
        <w:t>万吨，减少二氧化碳排放</w:t>
      </w:r>
      <w:r>
        <w:rPr>
          <w:rFonts w:ascii="仿宋_GB2312" w:eastAsia="仿宋_GB2312" w:hAnsi="宋体" w:hint="eastAsia"/>
          <w:sz w:val="32"/>
          <w:szCs w:val="32"/>
        </w:rPr>
        <w:t>5600</w:t>
      </w:r>
      <w:r>
        <w:rPr>
          <w:rFonts w:ascii="仿宋_GB2312" w:eastAsia="仿宋_GB2312" w:hAnsi="宋体" w:hint="eastAsia"/>
          <w:sz w:val="32"/>
          <w:szCs w:val="32"/>
        </w:rPr>
        <w:t>万吨</w:t>
      </w:r>
      <w:r>
        <w:rPr>
          <w:rFonts w:ascii="仿宋_GB2312" w:eastAsia="仿宋_GB2312" w:hAnsi="宋体" w:hint="eastAsia"/>
          <w:sz w:val="32"/>
          <w:szCs w:val="32"/>
        </w:rPr>
        <w:t>(</w:t>
      </w:r>
      <w:r>
        <w:rPr>
          <w:rFonts w:ascii="仿宋_GB2312" w:eastAsia="仿宋_GB2312" w:hAnsi="宋体" w:hint="eastAsia"/>
          <w:sz w:val="32"/>
          <w:szCs w:val="32"/>
        </w:rPr>
        <w:t>按吨钢排放</w:t>
      </w:r>
      <w:r>
        <w:rPr>
          <w:rFonts w:ascii="仿宋_GB2312" w:eastAsia="仿宋_GB2312" w:hAnsi="宋体" w:hint="eastAsia"/>
          <w:sz w:val="32"/>
          <w:szCs w:val="32"/>
        </w:rPr>
        <w:t>2.4</w:t>
      </w:r>
      <w:r>
        <w:rPr>
          <w:rFonts w:ascii="仿宋_GB2312" w:eastAsia="仿宋_GB2312" w:hAnsi="宋体" w:hint="eastAsia"/>
          <w:sz w:val="32"/>
          <w:szCs w:val="32"/>
        </w:rPr>
        <w:t>吨计算</w:t>
      </w:r>
      <w:r>
        <w:rPr>
          <w:rFonts w:ascii="仿宋_GB2312" w:eastAsia="仿宋_GB2312" w:hAnsi="宋体" w:hint="eastAsia"/>
          <w:sz w:val="32"/>
          <w:szCs w:val="32"/>
        </w:rPr>
        <w:t>)</w:t>
      </w:r>
      <w:r>
        <w:rPr>
          <w:rFonts w:ascii="仿宋_GB2312" w:eastAsia="仿宋_GB2312" w:hAnsi="宋体" w:hint="eastAsia"/>
          <w:sz w:val="32"/>
          <w:szCs w:val="32"/>
        </w:rPr>
        <w:t>，污水排放减少</w:t>
      </w:r>
      <w:r>
        <w:rPr>
          <w:rFonts w:ascii="仿宋_GB2312" w:eastAsia="仿宋_GB2312" w:hAnsi="宋体" w:hint="eastAsia"/>
          <w:sz w:val="32"/>
          <w:szCs w:val="32"/>
        </w:rPr>
        <w:t>5850</w:t>
      </w:r>
      <w:r>
        <w:rPr>
          <w:rFonts w:ascii="仿宋_GB2312" w:eastAsia="仿宋_GB2312" w:hAnsi="宋体" w:hint="eastAsia"/>
          <w:sz w:val="32"/>
          <w:szCs w:val="32"/>
        </w:rPr>
        <w:t>万吨，符合国家节能减排</w:t>
      </w:r>
      <w:r>
        <w:rPr>
          <w:rFonts w:ascii="仿宋_GB2312" w:eastAsia="仿宋_GB2312" w:hAnsi="宋体" w:hint="eastAsia"/>
          <w:sz w:val="32"/>
          <w:szCs w:val="32"/>
        </w:rPr>
        <w:t>,</w:t>
      </w:r>
      <w:r>
        <w:rPr>
          <w:rFonts w:ascii="仿宋_GB2312" w:eastAsia="仿宋_GB2312" w:hAnsi="宋体" w:hint="eastAsia"/>
          <w:sz w:val="32"/>
          <w:szCs w:val="32"/>
        </w:rPr>
        <w:t>绿色建筑基本国策，给国家带来巨大社会效益。为实现“碳中和、碳达峰”国家低碳战略做贡献。</w:t>
      </w:r>
    </w:p>
    <w:p w:rsidR="00D0198C" w:rsidRDefault="00BF0CB6">
      <w:pPr>
        <w:tabs>
          <w:tab w:val="left" w:pos="360"/>
        </w:tabs>
        <w:snapToGrid w:val="0"/>
        <w:spacing w:line="360" w:lineRule="auto"/>
        <w:ind w:firstLineChars="202" w:firstLine="646"/>
        <w:rPr>
          <w:rFonts w:ascii="仿宋_GB2312" w:eastAsia="仿宋_GB2312" w:hAnsi="宋体"/>
          <w:sz w:val="32"/>
          <w:szCs w:val="32"/>
        </w:rPr>
      </w:pPr>
      <w:r>
        <w:rPr>
          <w:rFonts w:ascii="仿宋_GB2312" w:eastAsia="仿宋_GB2312" w:hAnsi="宋体" w:hint="eastAsia"/>
          <w:sz w:val="32"/>
          <w:szCs w:val="32"/>
        </w:rPr>
        <w:t>综上，</w:t>
      </w:r>
      <w:r>
        <w:rPr>
          <w:rFonts w:ascii="仿宋_GB2312" w:eastAsia="仿宋_GB2312" w:hAnsi="宋体" w:hint="eastAsia"/>
          <w:sz w:val="32"/>
          <w:szCs w:val="32"/>
        </w:rPr>
        <w:t>660MPa</w:t>
      </w:r>
      <w:r>
        <w:rPr>
          <w:rFonts w:ascii="仿宋_GB2312" w:eastAsia="仿宋_GB2312" w:hAnsi="宋体" w:hint="eastAsia"/>
          <w:sz w:val="32"/>
          <w:szCs w:val="32"/>
        </w:rPr>
        <w:t>级热处理带肋高强钢筋（简称</w:t>
      </w:r>
      <w:r>
        <w:rPr>
          <w:rFonts w:ascii="仿宋_GB2312" w:eastAsia="仿宋_GB2312" w:hAnsi="宋体" w:hint="eastAsia"/>
          <w:sz w:val="32"/>
          <w:szCs w:val="32"/>
        </w:rPr>
        <w:t>T6</w:t>
      </w:r>
      <w:r>
        <w:rPr>
          <w:rFonts w:ascii="仿宋_GB2312" w:eastAsia="仿宋_GB2312" w:hAnsi="宋体" w:hint="eastAsia"/>
          <w:sz w:val="32"/>
          <w:szCs w:val="32"/>
        </w:rPr>
        <w:t>钢筋）的应用对推动我国钢铁工业与建筑业发展，实现国家提出的绿色建筑、节能减排、治理环境，提高抗震能力的要求，促进低碳经济建设和可持续发展战略实施实现具有重大的经济与社会意义。</w:t>
      </w:r>
    </w:p>
    <w:p w:rsidR="00D0198C" w:rsidRDefault="00D0198C">
      <w:pPr>
        <w:tabs>
          <w:tab w:val="left" w:pos="360"/>
        </w:tabs>
        <w:snapToGrid w:val="0"/>
        <w:spacing w:line="360" w:lineRule="auto"/>
        <w:ind w:firstLineChars="202" w:firstLine="646"/>
        <w:rPr>
          <w:rFonts w:ascii="仿宋_GB2312" w:eastAsia="仿宋_GB2312" w:hAnsi="宋体"/>
          <w:sz w:val="32"/>
          <w:szCs w:val="32"/>
        </w:rPr>
      </w:pPr>
    </w:p>
    <w:p w:rsidR="00D0198C" w:rsidRDefault="00BF0CB6">
      <w:pPr>
        <w:snapToGrid w:val="0"/>
        <w:spacing w:line="360" w:lineRule="auto"/>
        <w:jc w:val="left"/>
        <w:rPr>
          <w:rFonts w:ascii="仿宋_GB2312" w:eastAsia="仿宋_GB2312" w:hAnsi="宋体"/>
          <w:b/>
          <w:bCs/>
          <w:sz w:val="36"/>
          <w:szCs w:val="36"/>
        </w:rPr>
      </w:pPr>
      <w:r>
        <w:rPr>
          <w:rFonts w:ascii="仿宋_GB2312" w:eastAsia="仿宋_GB2312" w:hAnsi="宋体" w:hint="eastAsia"/>
          <w:b/>
          <w:bCs/>
          <w:sz w:val="36"/>
          <w:szCs w:val="36"/>
        </w:rPr>
        <w:t>技术难点及解决方法</w:t>
      </w:r>
    </w:p>
    <w:p w:rsidR="00D0198C" w:rsidRDefault="00BF0CB6">
      <w:pPr>
        <w:tabs>
          <w:tab w:val="left" w:pos="360"/>
        </w:tabs>
        <w:snapToGrid w:val="0"/>
        <w:spacing w:line="360" w:lineRule="auto"/>
        <w:rPr>
          <w:rFonts w:ascii="仿宋_GB2312" w:eastAsia="仿宋_GB2312" w:hAnsi="宋体"/>
          <w:sz w:val="32"/>
          <w:szCs w:val="32"/>
        </w:rPr>
      </w:pPr>
      <w:r>
        <w:rPr>
          <w:rFonts w:ascii="仿宋_GB2312" w:eastAsia="仿宋_GB2312" w:hAnsi="宋体" w:hint="eastAsia"/>
          <w:sz w:val="32"/>
          <w:szCs w:val="32"/>
        </w:rPr>
        <w:t>先后与东南大学、长安大学、四川大学、西安建筑科技大学等高水平高校和科研院所合作研发，完成了高强钢筋混凝土构件、结构的实验室实验、原位加载试验、人防动载试验千余件，攻克了裂缝控制、连接锚固、强度发挥限值、动力强度取值、抗震计算理论等诸多技术瓶颈问题。</w:t>
      </w:r>
    </w:p>
    <w:p w:rsidR="00D0198C" w:rsidRDefault="00D0198C">
      <w:pPr>
        <w:pStyle w:val="2"/>
        <w:ind w:firstLine="640"/>
        <w:rPr>
          <w:rFonts w:ascii="仿宋_GB2312" w:eastAsia="仿宋_GB2312" w:hAnsi="宋体"/>
          <w:sz w:val="32"/>
          <w:szCs w:val="32"/>
        </w:rPr>
      </w:pPr>
    </w:p>
    <w:p w:rsidR="00D0198C" w:rsidRDefault="00D0198C">
      <w:pPr>
        <w:pStyle w:val="2"/>
        <w:ind w:firstLine="640"/>
        <w:rPr>
          <w:rFonts w:ascii="仿宋_GB2312" w:eastAsia="仿宋_GB2312" w:hAnsi="宋体"/>
          <w:sz w:val="32"/>
          <w:szCs w:val="32"/>
        </w:rPr>
      </w:pPr>
    </w:p>
    <w:tbl>
      <w:tblPr>
        <w:tblW w:w="8865" w:type="dxa"/>
        <w:tblInd w:w="93" w:type="dxa"/>
        <w:tblLook w:val="04A0" w:firstRow="1" w:lastRow="0" w:firstColumn="1" w:lastColumn="0" w:noHBand="0" w:noVBand="1"/>
      </w:tblPr>
      <w:tblGrid>
        <w:gridCol w:w="1826"/>
        <w:gridCol w:w="5150"/>
        <w:gridCol w:w="1889"/>
      </w:tblGrid>
      <w:tr w:rsidR="00D0198C">
        <w:trPr>
          <w:trHeight w:val="285"/>
        </w:trPr>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高强钢筋应用研发进展</w:t>
            </w:r>
          </w:p>
        </w:tc>
      </w:tr>
      <w:tr w:rsidR="00D0198C">
        <w:trPr>
          <w:trHeight w:val="287"/>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实验室</w:t>
            </w:r>
            <w:r>
              <w:rPr>
                <w:rFonts w:ascii="仿宋_GB2312" w:eastAsia="仿宋_GB2312" w:hAnsi="宋体" w:hint="eastAsia"/>
                <w:sz w:val="32"/>
                <w:szCs w:val="32"/>
              </w:rPr>
              <w:t>试验研究</w:t>
            </w:r>
          </w:p>
        </w:tc>
        <w:tc>
          <w:tcPr>
            <w:tcW w:w="5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钢筋连接性能研究</w:t>
            </w:r>
          </w:p>
        </w:tc>
        <w:tc>
          <w:tcPr>
            <w:tcW w:w="18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各类试验</w:t>
            </w:r>
            <w:r>
              <w:rPr>
                <w:rFonts w:ascii="仿宋_GB2312" w:eastAsia="仿宋_GB2312" w:hAnsi="宋体" w:hint="eastAsia"/>
                <w:sz w:val="32"/>
                <w:szCs w:val="32"/>
              </w:rPr>
              <w:t>1200</w:t>
            </w:r>
            <w:r>
              <w:rPr>
                <w:rFonts w:ascii="仿宋_GB2312" w:eastAsia="仿宋_GB2312" w:hAnsi="宋体" w:hint="eastAsia"/>
                <w:sz w:val="32"/>
                <w:szCs w:val="32"/>
              </w:rPr>
              <w:t>余组</w:t>
            </w:r>
          </w:p>
        </w:tc>
      </w:tr>
      <w:tr w:rsidR="00D0198C">
        <w:trPr>
          <w:trHeight w:val="210"/>
        </w:trPr>
        <w:tc>
          <w:tcPr>
            <w:tcW w:w="18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D0198C">
            <w:pPr>
              <w:tabs>
                <w:tab w:val="left" w:pos="360"/>
              </w:tabs>
              <w:snapToGrid w:val="0"/>
              <w:spacing w:line="360" w:lineRule="auto"/>
              <w:ind w:firstLineChars="202" w:firstLine="646"/>
              <w:jc w:val="center"/>
              <w:rPr>
                <w:rFonts w:ascii="仿宋_GB2312" w:eastAsia="仿宋_GB2312" w:hAnsi="宋体"/>
                <w:sz w:val="32"/>
                <w:szCs w:val="32"/>
              </w:rPr>
            </w:pPr>
          </w:p>
        </w:tc>
        <w:tc>
          <w:tcPr>
            <w:tcW w:w="5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钢筋与混凝土粘结锚固性能研究</w:t>
            </w:r>
          </w:p>
        </w:tc>
        <w:tc>
          <w:tcPr>
            <w:tcW w:w="18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D0198C">
            <w:pPr>
              <w:tabs>
                <w:tab w:val="left" w:pos="360"/>
              </w:tabs>
              <w:snapToGrid w:val="0"/>
              <w:spacing w:line="360" w:lineRule="auto"/>
              <w:ind w:firstLineChars="202" w:firstLine="646"/>
              <w:jc w:val="center"/>
              <w:rPr>
                <w:rFonts w:ascii="仿宋_GB2312" w:eastAsia="仿宋_GB2312" w:hAnsi="宋体"/>
                <w:sz w:val="32"/>
                <w:szCs w:val="32"/>
              </w:rPr>
            </w:pPr>
          </w:p>
        </w:tc>
      </w:tr>
      <w:tr w:rsidR="00D0198C">
        <w:trPr>
          <w:trHeight w:val="210"/>
        </w:trPr>
        <w:tc>
          <w:tcPr>
            <w:tcW w:w="18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D0198C">
            <w:pPr>
              <w:tabs>
                <w:tab w:val="left" w:pos="360"/>
              </w:tabs>
              <w:snapToGrid w:val="0"/>
              <w:spacing w:line="360" w:lineRule="auto"/>
              <w:ind w:firstLineChars="202" w:firstLine="646"/>
              <w:jc w:val="center"/>
              <w:rPr>
                <w:rFonts w:ascii="仿宋_GB2312" w:eastAsia="仿宋_GB2312" w:hAnsi="宋体"/>
                <w:sz w:val="32"/>
                <w:szCs w:val="32"/>
              </w:rPr>
            </w:pPr>
          </w:p>
        </w:tc>
        <w:tc>
          <w:tcPr>
            <w:tcW w:w="5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梁构件抗弯、抗剪性能研究</w:t>
            </w:r>
          </w:p>
        </w:tc>
        <w:tc>
          <w:tcPr>
            <w:tcW w:w="18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D0198C">
            <w:pPr>
              <w:tabs>
                <w:tab w:val="left" w:pos="360"/>
              </w:tabs>
              <w:snapToGrid w:val="0"/>
              <w:spacing w:line="360" w:lineRule="auto"/>
              <w:ind w:firstLineChars="202" w:firstLine="646"/>
              <w:jc w:val="center"/>
              <w:rPr>
                <w:rFonts w:ascii="仿宋_GB2312" w:eastAsia="仿宋_GB2312" w:hAnsi="宋体"/>
                <w:sz w:val="32"/>
                <w:szCs w:val="32"/>
              </w:rPr>
            </w:pPr>
          </w:p>
        </w:tc>
      </w:tr>
      <w:tr w:rsidR="00D0198C">
        <w:trPr>
          <w:trHeight w:val="210"/>
        </w:trPr>
        <w:tc>
          <w:tcPr>
            <w:tcW w:w="18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D0198C">
            <w:pPr>
              <w:tabs>
                <w:tab w:val="left" w:pos="360"/>
              </w:tabs>
              <w:snapToGrid w:val="0"/>
              <w:spacing w:line="360" w:lineRule="auto"/>
              <w:ind w:firstLineChars="202" w:firstLine="646"/>
              <w:jc w:val="center"/>
              <w:rPr>
                <w:rFonts w:ascii="仿宋_GB2312" w:eastAsia="仿宋_GB2312" w:hAnsi="宋体"/>
                <w:sz w:val="32"/>
                <w:szCs w:val="32"/>
              </w:rPr>
            </w:pPr>
          </w:p>
        </w:tc>
        <w:tc>
          <w:tcPr>
            <w:tcW w:w="5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柱构件轴心、偏心抗压及抗震性能研究</w:t>
            </w:r>
          </w:p>
        </w:tc>
        <w:tc>
          <w:tcPr>
            <w:tcW w:w="18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D0198C">
            <w:pPr>
              <w:tabs>
                <w:tab w:val="left" w:pos="360"/>
              </w:tabs>
              <w:snapToGrid w:val="0"/>
              <w:spacing w:line="360" w:lineRule="auto"/>
              <w:ind w:firstLineChars="202" w:firstLine="646"/>
              <w:jc w:val="center"/>
              <w:rPr>
                <w:rFonts w:ascii="仿宋_GB2312" w:eastAsia="仿宋_GB2312" w:hAnsi="宋体"/>
                <w:sz w:val="32"/>
                <w:szCs w:val="32"/>
              </w:rPr>
            </w:pPr>
          </w:p>
        </w:tc>
      </w:tr>
      <w:tr w:rsidR="00D0198C">
        <w:trPr>
          <w:trHeight w:val="220"/>
        </w:trPr>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原位加载试验研究</w:t>
            </w:r>
          </w:p>
        </w:tc>
        <w:tc>
          <w:tcPr>
            <w:tcW w:w="5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足尺结构原位静载试验研究</w:t>
            </w:r>
          </w:p>
        </w:tc>
        <w:tc>
          <w:tcPr>
            <w:tcW w:w="18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个足尺结构</w:t>
            </w:r>
          </w:p>
        </w:tc>
      </w:tr>
      <w:tr w:rsidR="00D0198C">
        <w:trPr>
          <w:trHeight w:val="216"/>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人防工程应用研究</w:t>
            </w:r>
          </w:p>
        </w:tc>
        <w:tc>
          <w:tcPr>
            <w:tcW w:w="5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钢筋动态力学性能试验</w:t>
            </w:r>
          </w:p>
        </w:tc>
        <w:tc>
          <w:tcPr>
            <w:tcW w:w="18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各类试验</w:t>
            </w:r>
            <w:r>
              <w:rPr>
                <w:rFonts w:ascii="仿宋_GB2312" w:eastAsia="仿宋_GB2312" w:hAnsi="宋体" w:hint="eastAsia"/>
                <w:sz w:val="32"/>
                <w:szCs w:val="32"/>
              </w:rPr>
              <w:t>150</w:t>
            </w:r>
            <w:r>
              <w:rPr>
                <w:rFonts w:ascii="仿宋_GB2312" w:eastAsia="仿宋_GB2312" w:hAnsi="宋体" w:hint="eastAsia"/>
                <w:sz w:val="32"/>
                <w:szCs w:val="32"/>
              </w:rPr>
              <w:t>余组</w:t>
            </w:r>
          </w:p>
        </w:tc>
      </w:tr>
      <w:tr w:rsidR="00D0198C">
        <w:trPr>
          <w:trHeight w:val="771"/>
        </w:trPr>
        <w:tc>
          <w:tcPr>
            <w:tcW w:w="18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D0198C">
            <w:pPr>
              <w:tabs>
                <w:tab w:val="left" w:pos="360"/>
              </w:tabs>
              <w:snapToGrid w:val="0"/>
              <w:spacing w:line="360" w:lineRule="auto"/>
              <w:ind w:firstLineChars="202" w:firstLine="646"/>
              <w:jc w:val="center"/>
              <w:rPr>
                <w:rFonts w:ascii="仿宋_GB2312" w:eastAsia="仿宋_GB2312" w:hAnsi="宋体"/>
                <w:sz w:val="32"/>
                <w:szCs w:val="32"/>
              </w:rPr>
            </w:pPr>
          </w:p>
        </w:tc>
        <w:tc>
          <w:tcPr>
            <w:tcW w:w="5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梁、板构件动载受弯性能</w:t>
            </w:r>
          </w:p>
        </w:tc>
        <w:tc>
          <w:tcPr>
            <w:tcW w:w="18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D0198C">
            <w:pPr>
              <w:tabs>
                <w:tab w:val="left" w:pos="360"/>
              </w:tabs>
              <w:snapToGrid w:val="0"/>
              <w:spacing w:line="360" w:lineRule="auto"/>
              <w:ind w:firstLineChars="202" w:firstLine="646"/>
              <w:jc w:val="center"/>
              <w:rPr>
                <w:rFonts w:ascii="仿宋_GB2312" w:eastAsia="仿宋_GB2312" w:hAnsi="宋体"/>
                <w:sz w:val="32"/>
                <w:szCs w:val="32"/>
              </w:rPr>
            </w:pPr>
          </w:p>
        </w:tc>
      </w:tr>
      <w:tr w:rsidR="00D0198C">
        <w:trPr>
          <w:trHeight w:val="210"/>
        </w:trPr>
        <w:tc>
          <w:tcPr>
            <w:tcW w:w="18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D0198C">
            <w:pPr>
              <w:tabs>
                <w:tab w:val="left" w:pos="360"/>
              </w:tabs>
              <w:snapToGrid w:val="0"/>
              <w:spacing w:line="360" w:lineRule="auto"/>
              <w:ind w:firstLineChars="202" w:firstLine="646"/>
              <w:jc w:val="center"/>
              <w:rPr>
                <w:rFonts w:ascii="仿宋_GB2312" w:eastAsia="仿宋_GB2312" w:hAnsi="宋体"/>
                <w:sz w:val="32"/>
                <w:szCs w:val="32"/>
              </w:rPr>
            </w:pPr>
          </w:p>
        </w:tc>
        <w:tc>
          <w:tcPr>
            <w:tcW w:w="5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BF0CB6">
            <w:pPr>
              <w:tabs>
                <w:tab w:val="left" w:pos="360"/>
              </w:tabs>
              <w:snapToGrid w:val="0"/>
              <w:spacing w:line="360" w:lineRule="auto"/>
              <w:jc w:val="center"/>
              <w:rPr>
                <w:rFonts w:ascii="仿宋_GB2312" w:eastAsia="仿宋_GB2312" w:hAnsi="宋体"/>
                <w:sz w:val="32"/>
                <w:szCs w:val="32"/>
              </w:rPr>
            </w:pPr>
            <w:r>
              <w:rPr>
                <w:rFonts w:ascii="仿宋_GB2312" w:eastAsia="仿宋_GB2312" w:hAnsi="宋体" w:hint="eastAsia"/>
                <w:sz w:val="32"/>
                <w:szCs w:val="32"/>
              </w:rPr>
              <w:t>梁、板构件接触接触抗爆炸性能</w:t>
            </w:r>
          </w:p>
        </w:tc>
        <w:tc>
          <w:tcPr>
            <w:tcW w:w="18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198C" w:rsidRDefault="00D0198C">
            <w:pPr>
              <w:tabs>
                <w:tab w:val="left" w:pos="360"/>
              </w:tabs>
              <w:snapToGrid w:val="0"/>
              <w:spacing w:line="360" w:lineRule="auto"/>
              <w:ind w:firstLineChars="202" w:firstLine="646"/>
              <w:jc w:val="center"/>
              <w:rPr>
                <w:rFonts w:ascii="仿宋_GB2312" w:eastAsia="仿宋_GB2312" w:hAnsi="宋体"/>
                <w:sz w:val="32"/>
                <w:szCs w:val="32"/>
              </w:rPr>
            </w:pPr>
          </w:p>
        </w:tc>
      </w:tr>
    </w:tbl>
    <w:p w:rsidR="00D0198C" w:rsidRDefault="00D0198C">
      <w:pPr>
        <w:pStyle w:val="2"/>
        <w:sectPr w:rsidR="00D0198C">
          <w:pgSz w:w="11906" w:h="16838"/>
          <w:pgMar w:top="1440" w:right="1800" w:bottom="1440" w:left="1800" w:header="851" w:footer="992" w:gutter="0"/>
          <w:cols w:space="425"/>
          <w:docGrid w:type="lines" w:linePitch="312"/>
        </w:sectPr>
      </w:pPr>
    </w:p>
    <w:p w:rsidR="00D0198C" w:rsidRDefault="00BF0CB6">
      <w:pPr>
        <w:numPr>
          <w:ilvl w:val="0"/>
          <w:numId w:val="1"/>
        </w:numPr>
        <w:snapToGrid w:val="0"/>
        <w:spacing w:line="360" w:lineRule="auto"/>
        <w:jc w:val="left"/>
        <w:rPr>
          <w:rFonts w:ascii="仿宋_GB2312" w:eastAsia="仿宋_GB2312" w:hAnsi="宋体"/>
          <w:b/>
          <w:bCs/>
          <w:sz w:val="36"/>
          <w:szCs w:val="36"/>
        </w:rPr>
      </w:pPr>
      <w:r>
        <w:rPr>
          <w:rFonts w:ascii="仿宋_GB2312" w:eastAsia="仿宋_GB2312" w:hAnsi="宋体" w:hint="eastAsia"/>
          <w:b/>
          <w:bCs/>
          <w:sz w:val="36"/>
          <w:szCs w:val="36"/>
        </w:rPr>
        <w:lastRenderedPageBreak/>
        <w:t>综述报告</w:t>
      </w:r>
    </w:p>
    <w:p w:rsidR="00D0198C" w:rsidRDefault="00BF0CB6">
      <w:pPr>
        <w:pStyle w:val="a3"/>
        <w:spacing w:line="360" w:lineRule="auto"/>
        <w:ind w:firstLineChars="200" w:firstLine="640"/>
        <w:rPr>
          <w:rFonts w:ascii="仿宋_GB2312" w:eastAsia="仿宋_GB2312" w:cs="Times New Roman"/>
          <w:sz w:val="32"/>
          <w:szCs w:val="32"/>
          <w:lang w:val="en-US" w:bidi="ar-SA"/>
        </w:rPr>
      </w:pPr>
      <w:r>
        <w:rPr>
          <w:rFonts w:ascii="仿宋_GB2312" w:eastAsia="仿宋_GB2312" w:cs="Times New Roman" w:hint="eastAsia"/>
          <w:sz w:val="32"/>
          <w:szCs w:val="32"/>
          <w:lang w:val="en-US" w:bidi="ar-SA"/>
        </w:rPr>
        <w:t>钢筋混凝土结构是由钢筋和混凝土两种材料组成的共同受力结构，其结合了钢筋和混凝土材料的优点，具有材料利用合理、耐久性好、耐火性好、可模性好、整体性好、易于取材等特点。随着建筑物体型的不断增大，对结构要求的不断增多，结构中所需要的钢材强度也在不断提高。并且，随着城市化的不断加快，建筑能耗比例不断增大，生产并应用更高强度的钢筋已成为未来钢筋制造及结构设计必然的趋势。</w:t>
      </w:r>
      <w:r>
        <w:rPr>
          <w:rFonts w:ascii="仿宋_GB2312" w:eastAsia="仿宋_GB2312" w:cs="Times New Roman" w:hint="eastAsia"/>
          <w:sz w:val="32"/>
          <w:szCs w:val="32"/>
          <w:lang w:val="en-US" w:bidi="ar-SA"/>
        </w:rPr>
        <w:t>2012</w:t>
      </w:r>
      <w:r>
        <w:rPr>
          <w:rFonts w:ascii="仿宋_GB2312" w:eastAsia="仿宋_GB2312" w:cs="Times New Roman" w:hint="eastAsia"/>
          <w:sz w:val="32"/>
          <w:szCs w:val="32"/>
          <w:lang w:val="en-US" w:bidi="ar-SA"/>
        </w:rPr>
        <w:t>年，住房和城乡建设部、工业和信息化部两部委联合下发《关于加快应用高强钢筋的指导意见》，明确指出“加速淘汰</w:t>
      </w:r>
      <w:r>
        <w:rPr>
          <w:rFonts w:ascii="仿宋_GB2312" w:eastAsia="仿宋_GB2312" w:cs="Times New Roman" w:hint="eastAsia"/>
          <w:sz w:val="32"/>
          <w:szCs w:val="32"/>
          <w:lang w:val="en-US" w:bidi="ar-SA"/>
        </w:rPr>
        <w:t>335MPa</w:t>
      </w:r>
      <w:r>
        <w:rPr>
          <w:rFonts w:ascii="仿宋_GB2312" w:eastAsia="仿宋_GB2312" w:cs="Times New Roman" w:hint="eastAsia"/>
          <w:sz w:val="32"/>
          <w:szCs w:val="32"/>
          <w:lang w:val="en-US" w:bidi="ar-SA"/>
        </w:rPr>
        <w:t>级螺纹钢筋，优先使用</w:t>
      </w:r>
      <w:r>
        <w:rPr>
          <w:rFonts w:ascii="仿宋_GB2312" w:eastAsia="仿宋_GB2312" w:cs="Times New Roman" w:hint="eastAsia"/>
          <w:sz w:val="32"/>
          <w:szCs w:val="32"/>
          <w:lang w:val="en-US" w:bidi="ar-SA"/>
        </w:rPr>
        <w:t>400</w:t>
      </w:r>
      <w:r>
        <w:rPr>
          <w:rFonts w:ascii="仿宋_GB2312" w:eastAsia="仿宋_GB2312" w:cs="Times New Roman" w:hint="eastAsia"/>
          <w:sz w:val="32"/>
          <w:szCs w:val="32"/>
          <w:lang w:val="en-US" w:bidi="ar-SA"/>
        </w:rPr>
        <w:t>MPa</w:t>
      </w:r>
      <w:r>
        <w:rPr>
          <w:rFonts w:ascii="仿宋_GB2312" w:eastAsia="仿宋_GB2312" w:cs="Times New Roman" w:hint="eastAsia"/>
          <w:sz w:val="32"/>
          <w:szCs w:val="32"/>
          <w:lang w:val="en-US" w:bidi="ar-SA"/>
        </w:rPr>
        <w:t>级螺纹钢筋，积极推广</w:t>
      </w:r>
      <w:r>
        <w:rPr>
          <w:rFonts w:ascii="仿宋_GB2312" w:eastAsia="仿宋_GB2312" w:cs="Times New Roman" w:hint="eastAsia"/>
          <w:sz w:val="32"/>
          <w:szCs w:val="32"/>
          <w:lang w:val="en-US" w:bidi="ar-SA"/>
        </w:rPr>
        <w:t>500MPa</w:t>
      </w:r>
      <w:r>
        <w:rPr>
          <w:rFonts w:ascii="仿宋_GB2312" w:eastAsia="仿宋_GB2312" w:cs="Times New Roman" w:hint="eastAsia"/>
          <w:sz w:val="32"/>
          <w:szCs w:val="32"/>
          <w:lang w:val="en-US" w:bidi="ar-SA"/>
        </w:rPr>
        <w:t>级螺纹钢筋。加快高强钢筋产品及应用技术研发，加强高强钢筋和高强混凝土结构构件抗震性能的研究，开展</w:t>
      </w:r>
      <w:r>
        <w:rPr>
          <w:rFonts w:ascii="仿宋_GB2312" w:eastAsia="仿宋_GB2312" w:cs="Times New Roman" w:hint="eastAsia"/>
          <w:sz w:val="32"/>
          <w:szCs w:val="32"/>
          <w:lang w:val="en-US" w:bidi="ar-SA"/>
        </w:rPr>
        <w:t>600MPa</w:t>
      </w:r>
      <w:r>
        <w:rPr>
          <w:rFonts w:ascii="仿宋_GB2312" w:eastAsia="仿宋_GB2312" w:cs="Times New Roman" w:hint="eastAsia"/>
          <w:sz w:val="32"/>
          <w:szCs w:val="32"/>
          <w:lang w:val="en-US" w:bidi="ar-SA"/>
        </w:rPr>
        <w:t>及以上螺纹钢筋产品的研发”。高强钢筋的研发和推广已在我国提上日程，国内许多钢筋生产厂家已经掌握生产</w:t>
      </w:r>
      <w:r>
        <w:rPr>
          <w:rFonts w:ascii="仿宋_GB2312" w:eastAsia="仿宋_GB2312" w:cs="Times New Roman" w:hint="eastAsia"/>
          <w:sz w:val="32"/>
          <w:szCs w:val="32"/>
          <w:lang w:val="en-US" w:bidi="ar-SA"/>
        </w:rPr>
        <w:t>600MPa</w:t>
      </w:r>
      <w:r>
        <w:rPr>
          <w:rFonts w:ascii="仿宋_GB2312" w:eastAsia="仿宋_GB2312" w:cs="Times New Roman" w:hint="eastAsia"/>
          <w:sz w:val="32"/>
          <w:szCs w:val="32"/>
          <w:lang w:val="en-US" w:bidi="ar-SA"/>
        </w:rPr>
        <w:t>及以上高强钢筋的核心技术，并在部分工程中推广应用。但由于我国目前实施的国家标准《混凝土结构设计规范》（</w:t>
      </w:r>
      <w:r>
        <w:rPr>
          <w:rFonts w:ascii="仿宋_GB2312" w:eastAsia="仿宋_GB2312" w:cs="Times New Roman" w:hint="eastAsia"/>
          <w:sz w:val="32"/>
          <w:szCs w:val="32"/>
          <w:lang w:val="en-US" w:bidi="ar-SA"/>
        </w:rPr>
        <w:t>GB50010-2010</w:t>
      </w:r>
      <w:r>
        <w:rPr>
          <w:rFonts w:ascii="仿宋_GB2312" w:eastAsia="仿宋_GB2312" w:cs="Times New Roman" w:hint="eastAsia"/>
          <w:sz w:val="32"/>
          <w:szCs w:val="32"/>
          <w:lang w:val="en-US" w:bidi="ar-SA"/>
        </w:rPr>
        <w:t>）中对于钢筋材料最高强度的规定为</w:t>
      </w:r>
      <w:r>
        <w:rPr>
          <w:rFonts w:ascii="仿宋_GB2312" w:eastAsia="仿宋_GB2312" w:cs="Times New Roman" w:hint="eastAsia"/>
          <w:sz w:val="32"/>
          <w:szCs w:val="32"/>
          <w:lang w:val="en-US" w:bidi="ar-SA"/>
        </w:rPr>
        <w:t>500MPa</w:t>
      </w:r>
      <w:r>
        <w:rPr>
          <w:rFonts w:ascii="仿宋_GB2312" w:eastAsia="仿宋_GB2312" w:cs="Times New Roman" w:hint="eastAsia"/>
          <w:sz w:val="32"/>
          <w:szCs w:val="32"/>
          <w:lang w:val="en-US" w:bidi="ar-SA"/>
        </w:rPr>
        <w:t>，对于</w:t>
      </w:r>
      <w:r>
        <w:rPr>
          <w:rFonts w:ascii="仿宋_GB2312" w:eastAsia="仿宋_GB2312" w:cs="Times New Roman" w:hint="eastAsia"/>
          <w:sz w:val="32"/>
          <w:szCs w:val="32"/>
          <w:lang w:val="en-US" w:bidi="ar-SA"/>
        </w:rPr>
        <w:t>500MPa</w:t>
      </w:r>
      <w:r>
        <w:rPr>
          <w:rFonts w:ascii="仿宋_GB2312" w:eastAsia="仿宋_GB2312" w:cs="Times New Roman" w:hint="eastAsia"/>
          <w:sz w:val="32"/>
          <w:szCs w:val="32"/>
          <w:lang w:val="en-US" w:bidi="ar-SA"/>
        </w:rPr>
        <w:t>以上钢筋在建筑中的使用尚无设计依据。因此</w:t>
      </w:r>
      <w:r>
        <w:rPr>
          <w:rFonts w:ascii="仿宋_GB2312" w:eastAsia="仿宋_GB2312" w:cs="Times New Roman" w:hint="eastAsia"/>
          <w:sz w:val="32"/>
          <w:szCs w:val="32"/>
          <w:lang w:val="en-US" w:bidi="ar-SA"/>
        </w:rPr>
        <w:t>600MPa</w:t>
      </w:r>
      <w:r>
        <w:rPr>
          <w:rFonts w:ascii="仿宋_GB2312" w:eastAsia="仿宋_GB2312" w:cs="Times New Roman" w:hint="eastAsia"/>
          <w:sz w:val="32"/>
          <w:szCs w:val="32"/>
          <w:lang w:val="en-US" w:bidi="ar-SA"/>
        </w:rPr>
        <w:t>及以上高强度钢筋</w:t>
      </w:r>
      <w:r>
        <w:rPr>
          <w:rFonts w:ascii="仿宋_GB2312" w:eastAsia="仿宋_GB2312" w:cs="Times New Roman" w:hint="eastAsia"/>
          <w:sz w:val="32"/>
          <w:szCs w:val="32"/>
          <w:lang w:val="en-US" w:bidi="ar-SA"/>
        </w:rPr>
        <w:t>在实际应用中也受到了诸多限制。</w:t>
      </w:r>
    </w:p>
    <w:p w:rsidR="00D0198C" w:rsidRDefault="00BF0CB6">
      <w:pPr>
        <w:pStyle w:val="a3"/>
        <w:spacing w:line="360" w:lineRule="auto"/>
        <w:ind w:firstLineChars="200" w:firstLine="640"/>
        <w:rPr>
          <w:rFonts w:ascii="仿宋_GB2312" w:eastAsia="仿宋_GB2312" w:cs="Times New Roman"/>
          <w:sz w:val="32"/>
          <w:szCs w:val="32"/>
          <w:lang w:val="en-US" w:bidi="ar-SA"/>
        </w:rPr>
      </w:pPr>
      <w:r>
        <w:rPr>
          <w:rFonts w:ascii="仿宋_GB2312" w:eastAsia="仿宋_GB2312" w:cs="Times New Roman" w:hint="eastAsia"/>
          <w:sz w:val="32"/>
          <w:szCs w:val="32"/>
          <w:lang w:val="en-US" w:bidi="ar-SA"/>
        </w:rPr>
        <w:t>钢筋强度是决定混凝土结构承载力的重要因素，提高钢</w:t>
      </w:r>
      <w:r>
        <w:rPr>
          <w:rFonts w:ascii="仿宋_GB2312" w:eastAsia="仿宋_GB2312" w:cs="Times New Roman" w:hint="eastAsia"/>
          <w:sz w:val="32"/>
          <w:szCs w:val="32"/>
          <w:lang w:val="en-US" w:bidi="ar-SA"/>
        </w:rPr>
        <w:lastRenderedPageBreak/>
        <w:t>筋强度降低钢筋用量是钢筋混凝土结构的发展趋势。目前，我国部分省市已经通过了高强钢筋的地方标准，相关学者对高强钢筋的研究也有所涉猎。</w:t>
      </w:r>
      <w:r>
        <w:rPr>
          <w:rFonts w:ascii="仿宋_GB2312" w:eastAsia="仿宋_GB2312" w:hint="eastAsia"/>
          <w:sz w:val="32"/>
          <w:szCs w:val="32"/>
          <w:lang w:val="en-US"/>
        </w:rPr>
        <w:t>660MPa</w:t>
      </w:r>
      <w:r>
        <w:rPr>
          <w:rFonts w:ascii="仿宋_GB2312" w:eastAsia="仿宋_GB2312" w:hint="eastAsia"/>
          <w:sz w:val="32"/>
          <w:szCs w:val="32"/>
          <w:lang w:val="en-US"/>
        </w:rPr>
        <w:t>级</w:t>
      </w:r>
      <w:r>
        <w:rPr>
          <w:rFonts w:ascii="仿宋_GB2312" w:eastAsia="仿宋_GB2312" w:cs="Times New Roman" w:hint="eastAsia"/>
          <w:sz w:val="32"/>
          <w:szCs w:val="32"/>
          <w:lang w:val="en-US" w:bidi="ar-SA"/>
        </w:rPr>
        <w:t>热处理带肋高强钢筋（简称</w:t>
      </w:r>
      <w:r>
        <w:rPr>
          <w:rFonts w:ascii="仿宋_GB2312" w:eastAsia="仿宋_GB2312" w:hint="eastAsia"/>
          <w:sz w:val="32"/>
          <w:szCs w:val="32"/>
          <w:lang w:val="en-US"/>
        </w:rPr>
        <w:t>660MPa</w:t>
      </w:r>
      <w:r>
        <w:rPr>
          <w:rFonts w:ascii="仿宋_GB2312" w:eastAsia="仿宋_GB2312" w:hint="eastAsia"/>
          <w:sz w:val="32"/>
          <w:szCs w:val="32"/>
          <w:lang w:val="en-US"/>
        </w:rPr>
        <w:t>级</w:t>
      </w:r>
      <w:r>
        <w:rPr>
          <w:rFonts w:ascii="仿宋_GB2312" w:eastAsia="仿宋_GB2312" w:cs="Times New Roman" w:hint="eastAsia"/>
          <w:sz w:val="32"/>
          <w:szCs w:val="32"/>
          <w:lang w:val="en-US" w:bidi="ar-SA"/>
        </w:rPr>
        <w:t>钢筋）替代</w:t>
      </w:r>
      <w:r>
        <w:rPr>
          <w:rFonts w:ascii="仿宋_GB2312" w:eastAsia="仿宋_GB2312" w:cs="Times New Roman" w:hint="eastAsia"/>
          <w:sz w:val="32"/>
          <w:szCs w:val="32"/>
          <w:lang w:val="en-US" w:bidi="ar-SA"/>
        </w:rPr>
        <w:t>HRB400</w:t>
      </w:r>
      <w:r>
        <w:rPr>
          <w:rFonts w:ascii="仿宋_GB2312" w:eastAsia="仿宋_GB2312" w:cs="Times New Roman" w:hint="eastAsia"/>
          <w:sz w:val="32"/>
          <w:szCs w:val="32"/>
          <w:lang w:val="en-US" w:bidi="ar-SA"/>
        </w:rPr>
        <w:t>钢筋可有效降低布筋密度，可有效解决梁柱节点、高大柱及其他布筋密度较大的构件混凝土的浇筑问题。在工程建筑中使用</w:t>
      </w:r>
      <w:r>
        <w:rPr>
          <w:rFonts w:ascii="仿宋_GB2312" w:eastAsia="仿宋_GB2312" w:hint="eastAsia"/>
          <w:sz w:val="32"/>
          <w:szCs w:val="32"/>
          <w:lang w:val="en-US"/>
        </w:rPr>
        <w:t>660MPa</w:t>
      </w:r>
      <w:r>
        <w:rPr>
          <w:rFonts w:ascii="仿宋_GB2312" w:eastAsia="仿宋_GB2312" w:hint="eastAsia"/>
          <w:sz w:val="32"/>
          <w:szCs w:val="32"/>
          <w:lang w:val="en-US"/>
        </w:rPr>
        <w:t>级</w:t>
      </w:r>
      <w:r>
        <w:rPr>
          <w:rFonts w:ascii="仿宋_GB2312" w:eastAsia="仿宋_GB2312" w:cs="Times New Roman" w:hint="eastAsia"/>
          <w:sz w:val="32"/>
          <w:szCs w:val="32"/>
          <w:lang w:val="en-US" w:bidi="ar-SA"/>
        </w:rPr>
        <w:t>钢筋可节省</w:t>
      </w:r>
      <w:r>
        <w:rPr>
          <w:rFonts w:ascii="仿宋_GB2312" w:eastAsia="仿宋_GB2312" w:cs="Times New Roman" w:hint="eastAsia"/>
          <w:sz w:val="32"/>
          <w:szCs w:val="32"/>
          <w:lang w:val="en-US" w:bidi="ar-SA"/>
        </w:rPr>
        <w:t>30%</w:t>
      </w:r>
      <w:r>
        <w:rPr>
          <w:rFonts w:ascii="仿宋_GB2312" w:eastAsia="仿宋_GB2312" w:cs="Times New Roman" w:hint="eastAsia"/>
          <w:sz w:val="32"/>
          <w:szCs w:val="32"/>
          <w:lang w:val="en-US" w:bidi="ar-SA"/>
        </w:rPr>
        <w:t>的用钢量，节约工程造价。</w:t>
      </w:r>
    </w:p>
    <w:p w:rsidR="00D0198C" w:rsidRDefault="00BF0CB6">
      <w:pPr>
        <w:pStyle w:val="a3"/>
        <w:spacing w:line="360" w:lineRule="auto"/>
        <w:ind w:firstLineChars="200" w:firstLine="640"/>
        <w:rPr>
          <w:rFonts w:ascii="仿宋_GB2312" w:eastAsia="仿宋_GB2312" w:cs="Times New Roman"/>
          <w:sz w:val="32"/>
          <w:szCs w:val="32"/>
          <w:lang w:val="en-US" w:bidi="ar-SA"/>
        </w:rPr>
      </w:pPr>
      <w:r>
        <w:rPr>
          <w:rFonts w:ascii="仿宋_GB2312" w:eastAsia="仿宋_GB2312" w:cs="Times New Roman" w:hint="eastAsia"/>
          <w:sz w:val="32"/>
          <w:szCs w:val="32"/>
          <w:lang w:val="en-US" w:bidi="ar-SA"/>
        </w:rPr>
        <w:t>大力推广</w:t>
      </w:r>
      <w:r>
        <w:rPr>
          <w:rFonts w:ascii="仿宋_GB2312" w:eastAsia="仿宋_GB2312" w:hint="eastAsia"/>
          <w:sz w:val="32"/>
          <w:szCs w:val="32"/>
          <w:lang w:val="en-US"/>
        </w:rPr>
        <w:t>660MPa</w:t>
      </w:r>
      <w:r>
        <w:rPr>
          <w:rFonts w:ascii="仿宋_GB2312" w:eastAsia="仿宋_GB2312" w:hint="eastAsia"/>
          <w:sz w:val="32"/>
          <w:szCs w:val="32"/>
          <w:lang w:val="en-US"/>
        </w:rPr>
        <w:t>级</w:t>
      </w:r>
      <w:r>
        <w:rPr>
          <w:rFonts w:ascii="仿宋_GB2312" w:eastAsia="仿宋_GB2312" w:cs="Times New Roman" w:hint="eastAsia"/>
          <w:sz w:val="32"/>
          <w:szCs w:val="32"/>
          <w:lang w:val="en-US" w:bidi="ar-SA"/>
        </w:rPr>
        <w:t>钢筋的应用符合国家法律、法规和节能减排政策</w:t>
      </w:r>
      <w:r>
        <w:rPr>
          <w:rFonts w:ascii="仿宋_GB2312" w:eastAsia="仿宋_GB2312" w:cs="Times New Roman" w:hint="eastAsia"/>
          <w:sz w:val="32"/>
          <w:szCs w:val="32"/>
          <w:lang w:val="en-US" w:bidi="ar-SA"/>
        </w:rPr>
        <w:t>要求，推动我国高强钢筋的发展；同时符合国家主席习近平“要用</w:t>
      </w:r>
      <w:r>
        <w:rPr>
          <w:rFonts w:ascii="仿宋_GB2312" w:eastAsia="仿宋_GB2312" w:cs="Times New Roman" w:hint="eastAsia"/>
          <w:sz w:val="32"/>
          <w:szCs w:val="32"/>
          <w:lang w:val="en-US" w:bidi="ar-SA"/>
        </w:rPr>
        <w:t>5</w:t>
      </w:r>
      <w:r>
        <w:rPr>
          <w:rFonts w:ascii="仿宋_GB2312" w:eastAsia="仿宋_GB2312" w:cs="Times New Roman" w:hint="eastAsia"/>
          <w:sz w:val="32"/>
          <w:szCs w:val="32"/>
          <w:lang w:val="en-US" w:bidi="ar-SA"/>
        </w:rPr>
        <w:t>年时间再压减粗钢产能</w:t>
      </w:r>
      <w:r>
        <w:rPr>
          <w:rFonts w:ascii="仿宋_GB2312" w:eastAsia="仿宋_GB2312" w:cs="Times New Roman" w:hint="eastAsia"/>
          <w:sz w:val="32"/>
          <w:szCs w:val="32"/>
          <w:lang w:val="en-US" w:bidi="ar-SA"/>
        </w:rPr>
        <w:t>1</w:t>
      </w:r>
      <w:r>
        <w:rPr>
          <w:rFonts w:ascii="仿宋_GB2312" w:eastAsia="仿宋_GB2312" w:cs="Times New Roman" w:hint="eastAsia"/>
          <w:sz w:val="32"/>
          <w:szCs w:val="32"/>
          <w:lang w:val="en-US" w:bidi="ar-SA"/>
        </w:rPr>
        <w:t>亿—</w:t>
      </w:r>
      <w:r>
        <w:rPr>
          <w:rFonts w:ascii="仿宋_GB2312" w:eastAsia="仿宋_GB2312" w:cs="Times New Roman" w:hint="eastAsia"/>
          <w:sz w:val="32"/>
          <w:szCs w:val="32"/>
          <w:lang w:val="en-US" w:bidi="ar-SA"/>
        </w:rPr>
        <w:t>1.5</w:t>
      </w:r>
      <w:r>
        <w:rPr>
          <w:rFonts w:ascii="仿宋_GB2312" w:eastAsia="仿宋_GB2312" w:cs="Times New Roman" w:hint="eastAsia"/>
          <w:sz w:val="32"/>
          <w:szCs w:val="32"/>
          <w:lang w:val="en-US" w:bidi="ar-SA"/>
        </w:rPr>
        <w:t>亿吨，用</w:t>
      </w:r>
      <w:r>
        <w:rPr>
          <w:rFonts w:ascii="仿宋_GB2312" w:eastAsia="仿宋_GB2312" w:cs="Times New Roman" w:hint="eastAsia"/>
          <w:sz w:val="32"/>
          <w:szCs w:val="32"/>
          <w:lang w:val="en-US" w:bidi="ar-SA"/>
        </w:rPr>
        <w:t>3</w:t>
      </w:r>
      <w:r>
        <w:rPr>
          <w:rFonts w:ascii="仿宋_GB2312" w:eastAsia="仿宋_GB2312" w:cs="Times New Roman" w:hint="eastAsia"/>
          <w:sz w:val="32"/>
          <w:szCs w:val="32"/>
          <w:lang w:val="en-US" w:bidi="ar-SA"/>
        </w:rPr>
        <w:t>到</w:t>
      </w:r>
      <w:r>
        <w:rPr>
          <w:rFonts w:ascii="仿宋_GB2312" w:eastAsia="仿宋_GB2312" w:cs="Times New Roman" w:hint="eastAsia"/>
          <w:sz w:val="32"/>
          <w:szCs w:val="32"/>
          <w:lang w:val="en-US" w:bidi="ar-SA"/>
        </w:rPr>
        <w:t>5</w:t>
      </w:r>
      <w:r>
        <w:rPr>
          <w:rFonts w:ascii="仿宋_GB2312" w:eastAsia="仿宋_GB2312" w:cs="Times New Roman" w:hint="eastAsia"/>
          <w:sz w:val="32"/>
          <w:szCs w:val="32"/>
          <w:lang w:val="en-US" w:bidi="ar-SA"/>
        </w:rPr>
        <w:t>年时间再退出煤炭产能</w:t>
      </w:r>
      <w:r>
        <w:rPr>
          <w:rFonts w:ascii="仿宋_GB2312" w:eastAsia="仿宋_GB2312" w:cs="Times New Roman" w:hint="eastAsia"/>
          <w:sz w:val="32"/>
          <w:szCs w:val="32"/>
          <w:lang w:val="en-US" w:bidi="ar-SA"/>
        </w:rPr>
        <w:t>5</w:t>
      </w:r>
      <w:r>
        <w:rPr>
          <w:rFonts w:ascii="仿宋_GB2312" w:eastAsia="仿宋_GB2312" w:cs="Times New Roman" w:hint="eastAsia"/>
          <w:sz w:val="32"/>
          <w:szCs w:val="32"/>
          <w:lang w:val="en-US" w:bidi="ar-SA"/>
        </w:rPr>
        <w:t>亿吨左右、减量重组</w:t>
      </w:r>
      <w:r>
        <w:rPr>
          <w:rFonts w:ascii="仿宋_GB2312" w:eastAsia="仿宋_GB2312" w:cs="Times New Roman" w:hint="eastAsia"/>
          <w:sz w:val="32"/>
          <w:szCs w:val="32"/>
          <w:lang w:val="en-US" w:bidi="ar-SA"/>
        </w:rPr>
        <w:t>5</w:t>
      </w:r>
      <w:r>
        <w:rPr>
          <w:rFonts w:ascii="仿宋_GB2312" w:eastAsia="仿宋_GB2312" w:cs="Times New Roman" w:hint="eastAsia"/>
          <w:sz w:val="32"/>
          <w:szCs w:val="32"/>
          <w:lang w:val="en-US" w:bidi="ar-SA"/>
        </w:rPr>
        <w:t>亿吨左右。”的指示精神。</w:t>
      </w:r>
    </w:p>
    <w:p w:rsidR="00D0198C" w:rsidRDefault="00BF0CB6">
      <w:pPr>
        <w:pStyle w:val="a3"/>
        <w:spacing w:line="360" w:lineRule="auto"/>
        <w:ind w:firstLineChars="200" w:firstLine="640"/>
        <w:rPr>
          <w:rFonts w:ascii="仿宋_GB2312" w:eastAsia="仿宋_GB2312" w:cs="Times New Roman"/>
          <w:sz w:val="32"/>
          <w:szCs w:val="32"/>
          <w:lang w:val="en-US" w:bidi="ar-SA"/>
        </w:rPr>
      </w:pPr>
      <w:r>
        <w:rPr>
          <w:rFonts w:ascii="仿宋_GB2312" w:eastAsia="仿宋_GB2312" w:cs="Times New Roman" w:hint="eastAsia"/>
          <w:sz w:val="32"/>
          <w:szCs w:val="32"/>
          <w:lang w:val="en-US" w:bidi="ar-SA"/>
        </w:rPr>
        <w:t>因此，为了积极推高强钢筋在建筑中的应用，助推节约型社会发展，有效实现可持续发展战略，提升我区高强钢筋应用技术水平，在试验研究的基础上，结合我国建筑用高强钢筋实际，十分有必要开展《</w:t>
      </w:r>
      <w:r>
        <w:rPr>
          <w:rFonts w:ascii="仿宋_GB2312" w:eastAsia="仿宋_GB2312" w:cs="Times New Roman" w:hint="eastAsia"/>
          <w:sz w:val="32"/>
          <w:szCs w:val="32"/>
          <w:lang w:val="en-US" w:bidi="ar-SA"/>
        </w:rPr>
        <w:t>660MPa</w:t>
      </w:r>
      <w:r>
        <w:rPr>
          <w:rFonts w:ascii="仿宋_GB2312" w:eastAsia="仿宋_GB2312" w:cs="Times New Roman" w:hint="eastAsia"/>
          <w:sz w:val="32"/>
          <w:szCs w:val="32"/>
          <w:lang w:val="en-US" w:bidi="ar-SA"/>
        </w:rPr>
        <w:t>钢筋混凝土结构技术规程》的研究编制。</w:t>
      </w:r>
    </w:p>
    <w:p w:rsidR="00D0198C" w:rsidRDefault="00BF0CB6">
      <w:pPr>
        <w:spacing w:line="360" w:lineRule="auto"/>
        <w:rPr>
          <w:sz w:val="22"/>
          <w:szCs w:val="28"/>
        </w:rPr>
      </w:pPr>
      <w:r>
        <w:rPr>
          <w:rFonts w:ascii="仿宋_GB2312" w:eastAsia="仿宋_GB2312" w:hAnsi="宋体" w:hint="eastAsia"/>
          <w:sz w:val="32"/>
          <w:szCs w:val="32"/>
        </w:rPr>
        <w:br w:type="page"/>
      </w:r>
      <w:r>
        <w:rPr>
          <w:noProof/>
          <w:sz w:val="22"/>
          <w:szCs w:val="28"/>
        </w:rPr>
        <w:lastRenderedPageBreak/>
        <w:drawing>
          <wp:inline distT="0" distB="0" distL="114300" distR="114300">
            <wp:extent cx="2470785" cy="3484245"/>
            <wp:effectExtent l="25400" t="25400" r="94615" b="9080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5" cstate="print"/>
                    <a:stretch>
                      <a:fillRect/>
                    </a:stretch>
                  </pic:blipFill>
                  <pic:spPr>
                    <a:xfrm>
                      <a:off x="0" y="0"/>
                      <a:ext cx="2470785" cy="34842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sz w:val="22"/>
          <w:szCs w:val="28"/>
        </w:rPr>
        <w:drawing>
          <wp:inline distT="0" distB="0" distL="114300" distR="114300">
            <wp:extent cx="2489200" cy="3505835"/>
            <wp:effectExtent l="25400" t="25400" r="95250" b="8826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6" cstate="print"/>
                    <a:stretch>
                      <a:fillRect/>
                    </a:stretch>
                  </pic:blipFill>
                  <pic:spPr>
                    <a:xfrm>
                      <a:off x="0" y="0"/>
                      <a:ext cx="2489200" cy="350583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sz w:val="22"/>
          <w:szCs w:val="28"/>
        </w:rPr>
        <w:drawing>
          <wp:inline distT="0" distB="0" distL="114300" distR="114300">
            <wp:extent cx="2506980" cy="3554095"/>
            <wp:effectExtent l="25400" t="25400" r="96520" b="9715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7" cstate="print"/>
                    <a:stretch>
                      <a:fillRect/>
                    </a:stretch>
                  </pic:blipFill>
                  <pic:spPr>
                    <a:xfrm>
                      <a:off x="0" y="0"/>
                      <a:ext cx="2506980" cy="35540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sz w:val="22"/>
          <w:szCs w:val="28"/>
        </w:rPr>
        <w:drawing>
          <wp:inline distT="0" distB="0" distL="114300" distR="114300">
            <wp:extent cx="2477770" cy="3522345"/>
            <wp:effectExtent l="25400" t="25400" r="87630" b="908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cstate="print"/>
                    <a:stretch>
                      <a:fillRect/>
                    </a:stretch>
                  </pic:blipFill>
                  <pic:spPr>
                    <a:xfrm>
                      <a:off x="0" y="0"/>
                      <a:ext cx="2477770" cy="35223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sz w:val="22"/>
          <w:szCs w:val="28"/>
        </w:rPr>
        <w:lastRenderedPageBreak/>
        <w:drawing>
          <wp:inline distT="0" distB="0" distL="114300" distR="114300">
            <wp:extent cx="2421255" cy="3386455"/>
            <wp:effectExtent l="25400" t="25400" r="86995" b="933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9" cstate="print"/>
                    <a:stretch>
                      <a:fillRect/>
                    </a:stretch>
                  </pic:blipFill>
                  <pic:spPr>
                    <a:xfrm>
                      <a:off x="0" y="0"/>
                      <a:ext cx="2421255" cy="33864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sz w:val="22"/>
          <w:szCs w:val="28"/>
        </w:rPr>
        <w:drawing>
          <wp:inline distT="0" distB="0" distL="114300" distR="114300">
            <wp:extent cx="2415540" cy="3392170"/>
            <wp:effectExtent l="25400" t="25400" r="92710" b="8763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cstate="print"/>
                    <a:stretch>
                      <a:fillRect/>
                    </a:stretch>
                  </pic:blipFill>
                  <pic:spPr>
                    <a:xfrm>
                      <a:off x="0" y="0"/>
                      <a:ext cx="2415540" cy="33921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sz w:val="22"/>
          <w:szCs w:val="28"/>
        </w:rPr>
        <w:drawing>
          <wp:inline distT="0" distB="0" distL="114300" distR="114300">
            <wp:extent cx="2476500" cy="3496945"/>
            <wp:effectExtent l="25400" t="25400" r="88900" b="9715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1" cstate="print"/>
                    <a:stretch>
                      <a:fillRect/>
                    </a:stretch>
                  </pic:blipFill>
                  <pic:spPr>
                    <a:xfrm>
                      <a:off x="0" y="0"/>
                      <a:ext cx="2476500" cy="34969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sz w:val="22"/>
          <w:szCs w:val="28"/>
        </w:rPr>
        <w:drawing>
          <wp:inline distT="0" distB="0" distL="114300" distR="114300">
            <wp:extent cx="2489835" cy="3494405"/>
            <wp:effectExtent l="25400" t="25400" r="94615" b="8064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2" cstate="print"/>
                    <a:stretch>
                      <a:fillRect/>
                    </a:stretch>
                  </pic:blipFill>
                  <pic:spPr>
                    <a:xfrm>
                      <a:off x="0" y="0"/>
                      <a:ext cx="2489835" cy="349440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sz w:val="22"/>
          <w:szCs w:val="28"/>
        </w:rPr>
        <w:lastRenderedPageBreak/>
        <w:drawing>
          <wp:inline distT="0" distB="0" distL="114300" distR="114300">
            <wp:extent cx="2498725" cy="3508375"/>
            <wp:effectExtent l="25400" t="25400" r="85725" b="85725"/>
            <wp:docPr id="36" name="图片 -214748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47482624"/>
                    <pic:cNvPicPr>
                      <a:picLocks noChangeAspect="1"/>
                    </pic:cNvPicPr>
                  </pic:nvPicPr>
                  <pic:blipFill>
                    <a:blip r:embed="rId13" cstate="print"/>
                    <a:stretch>
                      <a:fillRect/>
                    </a:stretch>
                  </pic:blipFill>
                  <pic:spPr>
                    <a:xfrm>
                      <a:off x="0" y="0"/>
                      <a:ext cx="2498725" cy="35083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sz w:val="22"/>
          <w:szCs w:val="28"/>
        </w:rPr>
        <w:drawing>
          <wp:inline distT="0" distB="0" distL="114300" distR="114300">
            <wp:extent cx="2519680" cy="3528695"/>
            <wp:effectExtent l="25400" t="25400" r="83820" b="8445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4" cstate="print"/>
                    <a:stretch>
                      <a:fillRect/>
                    </a:stretch>
                  </pic:blipFill>
                  <pic:spPr>
                    <a:xfrm>
                      <a:off x="0" y="0"/>
                      <a:ext cx="2519680" cy="35286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D0198C" w:rsidRDefault="00BF0CB6">
      <w:pPr>
        <w:spacing w:line="360" w:lineRule="auto"/>
        <w:rPr>
          <w:sz w:val="22"/>
          <w:szCs w:val="28"/>
        </w:rPr>
      </w:pPr>
      <w:r>
        <w:rPr>
          <w:noProof/>
        </w:rPr>
        <w:drawing>
          <wp:inline distT="0" distB="0" distL="114300" distR="114300">
            <wp:extent cx="2511425" cy="3370580"/>
            <wp:effectExtent l="25400" t="25400" r="92075" b="90170"/>
            <wp:docPr id="2" name="图片 1" descr="F:\资料备件L\资质文件建筑钢材\单个水印-资质-148页\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资料备件L\资质文件建筑钢材\单个水印-资质-148页\44.jpg"/>
                    <pic:cNvPicPr>
                      <a:picLocks noChangeAspect="1"/>
                    </pic:cNvPicPr>
                  </pic:nvPicPr>
                  <pic:blipFill>
                    <a:blip r:embed="rId15" cstate="print"/>
                    <a:stretch>
                      <a:fillRect/>
                    </a:stretch>
                  </pic:blipFill>
                  <pic:spPr>
                    <a:xfrm>
                      <a:off x="0" y="0"/>
                      <a:ext cx="2511425" cy="33705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rPr>
        <w:drawing>
          <wp:inline distT="0" distB="0" distL="114300" distR="114300">
            <wp:extent cx="2478405" cy="3374390"/>
            <wp:effectExtent l="25400" t="25400" r="86995" b="86360"/>
            <wp:docPr id="23" name="图片 22" descr="placingpictur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placingpictureplaceholder"/>
                    <pic:cNvPicPr>
                      <a:picLocks noChangeAspect="1"/>
                    </pic:cNvPicPr>
                  </pic:nvPicPr>
                  <pic:blipFill>
                    <a:blip r:embed="rId16" cstate="print"/>
                    <a:srcRect l="2271" t="753" r="1631" b="-60"/>
                    <a:stretch>
                      <a:fillRect/>
                    </a:stretch>
                  </pic:blipFill>
                  <pic:spPr>
                    <a:xfrm>
                      <a:off x="0" y="0"/>
                      <a:ext cx="2478405" cy="337439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rPr>
        <w:lastRenderedPageBreak/>
        <w:drawing>
          <wp:inline distT="0" distB="0" distL="114300" distR="114300">
            <wp:extent cx="2425065" cy="3486785"/>
            <wp:effectExtent l="25400" t="25400" r="83185" b="8826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7" cstate="print"/>
                    <a:stretch>
                      <a:fillRect/>
                    </a:stretch>
                  </pic:blipFill>
                  <pic:spPr>
                    <a:xfrm>
                      <a:off x="0" y="0"/>
                      <a:ext cx="2425065" cy="34867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rPr>
        <w:drawing>
          <wp:inline distT="0" distB="0" distL="114300" distR="114300">
            <wp:extent cx="2512695" cy="3467735"/>
            <wp:effectExtent l="25400" t="25400" r="90805" b="8826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8" cstate="print"/>
                    <a:stretch>
                      <a:fillRect/>
                    </a:stretch>
                  </pic:blipFill>
                  <pic:spPr>
                    <a:xfrm>
                      <a:off x="0" y="0"/>
                      <a:ext cx="2512695" cy="346773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rPr>
        <w:drawing>
          <wp:inline distT="0" distB="0" distL="114300" distR="114300">
            <wp:extent cx="2449830" cy="3369310"/>
            <wp:effectExtent l="25400" t="25400" r="96520" b="9144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9" cstate="print"/>
                    <a:stretch>
                      <a:fillRect/>
                    </a:stretch>
                  </pic:blipFill>
                  <pic:spPr>
                    <a:xfrm>
                      <a:off x="0" y="0"/>
                      <a:ext cx="2449830" cy="33693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rPr>
        <w:drawing>
          <wp:inline distT="0" distB="0" distL="114300" distR="114300">
            <wp:extent cx="2543175" cy="3316605"/>
            <wp:effectExtent l="25400" t="25400" r="79375" b="86995"/>
            <wp:docPr id="10" name="图片 2" descr="20101101074439722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20101101074439722_页面_3"/>
                    <pic:cNvPicPr>
                      <a:picLocks noChangeAspect="1"/>
                    </pic:cNvPicPr>
                  </pic:nvPicPr>
                  <pic:blipFill>
                    <a:blip r:embed="rId20" cstate="print"/>
                    <a:stretch>
                      <a:fillRect/>
                    </a:stretch>
                  </pic:blipFill>
                  <pic:spPr>
                    <a:xfrm>
                      <a:off x="0" y="0"/>
                      <a:ext cx="2543175" cy="331660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D0198C" w:rsidRDefault="00BF0CB6">
      <w:pPr>
        <w:rPr>
          <w:rFonts w:ascii="仿宋_GB2312" w:eastAsia="仿宋_GB2312" w:hAnsi="宋体"/>
          <w:sz w:val="32"/>
          <w:szCs w:val="32"/>
        </w:rPr>
      </w:pPr>
      <w:r>
        <w:rPr>
          <w:rFonts w:ascii="仿宋_GB2312" w:eastAsia="仿宋_GB2312" w:hAnsi="宋体" w:hint="eastAsia"/>
          <w:sz w:val="32"/>
          <w:szCs w:val="32"/>
        </w:rPr>
        <w:br w:type="page"/>
      </w:r>
    </w:p>
    <w:p w:rsidR="00D0198C" w:rsidRDefault="00D0198C">
      <w:pPr>
        <w:pStyle w:val="2"/>
      </w:pPr>
    </w:p>
    <w:p w:rsidR="00D0198C" w:rsidRDefault="00BF0CB6">
      <w:pPr>
        <w:snapToGrid w:val="0"/>
        <w:spacing w:line="360" w:lineRule="auto"/>
        <w:rPr>
          <w:rFonts w:ascii="仿宋_GB2312" w:eastAsia="仿宋_GB2312" w:hAnsi="宋体"/>
          <w:b/>
          <w:bCs/>
          <w:sz w:val="36"/>
          <w:szCs w:val="36"/>
        </w:rPr>
      </w:pPr>
      <w:r>
        <w:rPr>
          <w:rFonts w:ascii="仿宋_GB2312" w:eastAsia="仿宋_GB2312" w:hAnsi="宋体" w:hint="eastAsia"/>
          <w:b/>
          <w:bCs/>
          <w:sz w:val="36"/>
          <w:szCs w:val="36"/>
        </w:rPr>
        <w:t>四、制定标准与现行法律、法规、标准的关系</w:t>
      </w:r>
    </w:p>
    <w:p w:rsidR="00D0198C" w:rsidRDefault="00BF0CB6">
      <w:pPr>
        <w:tabs>
          <w:tab w:val="left" w:pos="0"/>
        </w:tabs>
        <w:spacing w:line="360" w:lineRule="auto"/>
        <w:ind w:firstLineChars="200" w:firstLine="643"/>
        <w:rPr>
          <w:rFonts w:ascii="仿宋_GB2312" w:eastAsia="仿宋_GB2312"/>
          <w:b/>
          <w:bCs/>
          <w:sz w:val="32"/>
          <w:szCs w:val="28"/>
        </w:rPr>
      </w:pPr>
      <w:r>
        <w:rPr>
          <w:rFonts w:ascii="仿宋_GB2312" w:eastAsia="仿宋_GB2312" w:hint="eastAsia"/>
          <w:b/>
          <w:bCs/>
          <w:sz w:val="32"/>
          <w:szCs w:val="28"/>
        </w:rPr>
        <w:t>一、执行相关标准情况</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本标准条款没有低于国家、行业、地方强制性和推荐性标准的条款，符合工程建设团体标准的编制要求。</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本标准基于国家、地方绿色建筑发展导向，以及高强钢筋推广应用的需求，有实施的基础和条件。</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本标准内容不存在危及人身、财产安全的不合理的危险，标准内容完善，对于规范采用</w:t>
      </w:r>
      <w:r>
        <w:rPr>
          <w:rFonts w:ascii="仿宋_GB2312" w:eastAsia="仿宋_GB2312" w:hAnsi="Times New Roman" w:cs="Times New Roman" w:hint="eastAsia"/>
          <w:sz w:val="32"/>
          <w:szCs w:val="28"/>
          <w:lang w:val="en-US" w:bidi="ar-SA"/>
        </w:rPr>
        <w:t>660MPa</w:t>
      </w:r>
      <w:r>
        <w:rPr>
          <w:rFonts w:ascii="仿宋_GB2312" w:eastAsia="仿宋_GB2312" w:hAnsi="Times New Roman" w:cs="Times New Roman" w:hint="eastAsia"/>
          <w:sz w:val="32"/>
          <w:szCs w:val="28"/>
          <w:lang w:val="en-US" w:bidi="ar-SA"/>
        </w:rPr>
        <w:t>级钢筋的混凝土结构技术具有指导作用。</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本标准反映</w:t>
      </w:r>
      <w:r>
        <w:rPr>
          <w:rFonts w:ascii="仿宋_GB2312" w:eastAsia="仿宋_GB2312" w:hAnsi="Times New Roman" w:cs="Times New Roman" w:hint="eastAsia"/>
          <w:sz w:val="32"/>
          <w:szCs w:val="28"/>
          <w:lang w:val="en-US" w:bidi="ar-SA"/>
        </w:rPr>
        <w:t>660MPa</w:t>
      </w:r>
      <w:r>
        <w:rPr>
          <w:rFonts w:ascii="仿宋_GB2312" w:eastAsia="仿宋_GB2312" w:hAnsi="Times New Roman" w:cs="Times New Roman" w:hint="eastAsia"/>
          <w:sz w:val="32"/>
          <w:szCs w:val="28"/>
          <w:lang w:val="en-US" w:bidi="ar-SA"/>
        </w:rPr>
        <w:t>级钢筋混凝土结构的技术指标、检测、施工、验收方法等技术内容科学合理，并且参照执行现行的国家、行业相关强制性、推荐性标准规定，能够实施。</w:t>
      </w:r>
    </w:p>
    <w:p w:rsidR="00D0198C" w:rsidRDefault="00BF0CB6">
      <w:pPr>
        <w:tabs>
          <w:tab w:val="left" w:pos="0"/>
        </w:tabs>
        <w:spacing w:line="360" w:lineRule="auto"/>
        <w:ind w:firstLineChars="200" w:firstLine="643"/>
        <w:rPr>
          <w:rFonts w:ascii="仿宋_GB2312" w:eastAsia="仿宋_GB2312"/>
          <w:b/>
          <w:bCs/>
          <w:sz w:val="32"/>
          <w:szCs w:val="28"/>
        </w:rPr>
      </w:pPr>
      <w:r>
        <w:rPr>
          <w:rFonts w:ascii="仿宋_GB2312" w:eastAsia="仿宋_GB2312" w:hint="eastAsia"/>
          <w:b/>
          <w:bCs/>
          <w:sz w:val="32"/>
          <w:szCs w:val="28"/>
        </w:rPr>
        <w:t>二、引用标准名录</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《混凝土结构设计规范》</w:t>
      </w:r>
      <w:r>
        <w:rPr>
          <w:rFonts w:ascii="仿宋_GB2312" w:eastAsia="仿宋_GB2312" w:hAnsi="Times New Roman" w:cs="Times New Roman" w:hint="eastAsia"/>
          <w:sz w:val="32"/>
          <w:szCs w:val="28"/>
          <w:lang w:val="en-US" w:bidi="ar-SA"/>
        </w:rPr>
        <w:t xml:space="preserve">GB </w:t>
      </w:r>
      <w:r>
        <w:rPr>
          <w:rFonts w:ascii="仿宋_GB2312" w:eastAsia="仿宋_GB2312" w:hAnsi="Times New Roman" w:cs="Times New Roman" w:hint="eastAsia"/>
          <w:sz w:val="32"/>
          <w:szCs w:val="28"/>
          <w:lang w:val="en-US" w:bidi="ar-SA"/>
        </w:rPr>
        <w:t>50010</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《建筑抗震设计规范》</w:t>
      </w:r>
      <w:r>
        <w:rPr>
          <w:rFonts w:ascii="仿宋_GB2312" w:eastAsia="仿宋_GB2312" w:hAnsi="Times New Roman" w:cs="Times New Roman" w:hint="eastAsia"/>
          <w:sz w:val="32"/>
          <w:szCs w:val="28"/>
          <w:lang w:val="en-US" w:bidi="ar-SA"/>
        </w:rPr>
        <w:t>GB 50011</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《混凝土结构通用规范》</w:t>
      </w:r>
      <w:r>
        <w:rPr>
          <w:rFonts w:ascii="仿宋_GB2312" w:eastAsia="仿宋_GB2312" w:hAnsi="Times New Roman" w:cs="Times New Roman" w:hint="eastAsia"/>
          <w:sz w:val="32"/>
          <w:szCs w:val="28"/>
          <w:lang w:val="en-US" w:bidi="ar-SA"/>
        </w:rPr>
        <w:t>GB 55008</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《钢筋混凝土用钢第</w:t>
      </w:r>
      <w:r>
        <w:rPr>
          <w:rFonts w:ascii="仿宋_GB2312" w:eastAsia="仿宋_GB2312" w:hAnsi="Times New Roman" w:cs="Times New Roman" w:hint="eastAsia"/>
          <w:sz w:val="32"/>
          <w:szCs w:val="28"/>
          <w:lang w:val="en-US" w:bidi="ar-SA"/>
        </w:rPr>
        <w:t>2</w:t>
      </w:r>
      <w:r>
        <w:rPr>
          <w:rFonts w:ascii="仿宋_GB2312" w:eastAsia="仿宋_GB2312" w:hAnsi="Times New Roman" w:cs="Times New Roman" w:hint="eastAsia"/>
          <w:sz w:val="32"/>
          <w:szCs w:val="28"/>
          <w:lang w:val="en-US" w:bidi="ar-SA"/>
        </w:rPr>
        <w:t>部分：热轧带肋钢筋》</w:t>
      </w:r>
      <w:r>
        <w:rPr>
          <w:rFonts w:ascii="仿宋_GB2312" w:eastAsia="仿宋_GB2312" w:hAnsi="Times New Roman" w:cs="Times New Roman" w:hint="eastAsia"/>
          <w:sz w:val="32"/>
          <w:szCs w:val="28"/>
          <w:lang w:val="en-US" w:bidi="ar-SA"/>
        </w:rPr>
        <w:t>GB/T 1499.2</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《人民防空地下室设计规范》</w:t>
      </w:r>
      <w:r>
        <w:rPr>
          <w:rFonts w:ascii="仿宋_GB2312" w:eastAsia="仿宋_GB2312" w:hAnsi="Times New Roman" w:cs="Times New Roman" w:hint="eastAsia"/>
          <w:sz w:val="32"/>
          <w:szCs w:val="28"/>
          <w:lang w:val="en-US" w:bidi="ar-SA"/>
        </w:rPr>
        <w:t>GB 50038</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《混凝土结构工程施工规范》</w:t>
      </w:r>
      <w:r>
        <w:rPr>
          <w:rFonts w:ascii="仿宋_GB2312" w:eastAsia="仿宋_GB2312" w:hAnsi="Times New Roman" w:cs="Times New Roman" w:hint="eastAsia"/>
          <w:sz w:val="32"/>
          <w:szCs w:val="28"/>
          <w:lang w:val="en-US" w:bidi="ar-SA"/>
        </w:rPr>
        <w:t>GB 50666</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《混凝土结构工程施工质量验收规范》</w:t>
      </w:r>
      <w:r>
        <w:rPr>
          <w:rFonts w:ascii="仿宋_GB2312" w:eastAsia="仿宋_GB2312" w:hAnsi="Times New Roman" w:cs="Times New Roman" w:hint="eastAsia"/>
          <w:sz w:val="32"/>
          <w:szCs w:val="28"/>
          <w:lang w:val="en-US" w:bidi="ar-SA"/>
        </w:rPr>
        <w:t>GB 50204</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lastRenderedPageBreak/>
        <w:t>《钢筋机械连接技术规程》</w:t>
      </w:r>
      <w:r>
        <w:rPr>
          <w:rFonts w:ascii="仿宋_GB2312" w:eastAsia="仿宋_GB2312" w:hAnsi="Times New Roman" w:cs="Times New Roman" w:hint="eastAsia"/>
          <w:sz w:val="32"/>
          <w:szCs w:val="28"/>
          <w:lang w:val="en-US" w:bidi="ar-SA"/>
        </w:rPr>
        <w:t>JGJ 107</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《钢筋焊接接头试验方法标准》</w:t>
      </w:r>
      <w:r>
        <w:rPr>
          <w:rFonts w:ascii="仿宋_GB2312" w:eastAsia="仿宋_GB2312" w:hAnsi="Times New Roman" w:cs="Times New Roman" w:hint="eastAsia"/>
          <w:sz w:val="32"/>
          <w:szCs w:val="28"/>
          <w:lang w:val="en-US" w:bidi="ar-SA"/>
        </w:rPr>
        <w:t>JGJ 27</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《钢筋焊接及验收规程》</w:t>
      </w:r>
      <w:r>
        <w:rPr>
          <w:rFonts w:ascii="仿宋_GB2312" w:eastAsia="仿宋_GB2312" w:hAnsi="Times New Roman" w:cs="Times New Roman" w:hint="eastAsia"/>
          <w:sz w:val="32"/>
          <w:szCs w:val="28"/>
          <w:lang w:val="en-US" w:bidi="ar-SA"/>
        </w:rPr>
        <w:t>JGJ 18</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《钢筋锚固板应用技术规程》</w:t>
      </w:r>
      <w:r>
        <w:rPr>
          <w:rFonts w:ascii="仿宋_GB2312" w:eastAsia="仿宋_GB2312" w:hAnsi="Times New Roman" w:cs="Times New Roman" w:hint="eastAsia"/>
          <w:sz w:val="32"/>
          <w:szCs w:val="28"/>
          <w:lang w:val="en-US" w:bidi="ar-SA"/>
        </w:rPr>
        <w:t>JGJ 256</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《钢的化学成分允许偏差》</w:t>
      </w:r>
      <w:r>
        <w:rPr>
          <w:rFonts w:ascii="仿宋_GB2312" w:eastAsia="仿宋_GB2312" w:hAnsi="Times New Roman" w:cs="Times New Roman" w:hint="eastAsia"/>
          <w:sz w:val="32"/>
          <w:szCs w:val="28"/>
          <w:lang w:val="en-US" w:bidi="ar-SA"/>
        </w:rPr>
        <w:t>GB/T 222</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《金属材料室温拉伸试验方法》</w:t>
      </w:r>
      <w:r>
        <w:rPr>
          <w:rFonts w:ascii="仿宋_GB2312" w:eastAsia="仿宋_GB2312" w:hAnsi="Times New Roman" w:cs="Times New Roman" w:hint="eastAsia"/>
          <w:sz w:val="32"/>
          <w:szCs w:val="28"/>
          <w:lang w:val="en-US" w:bidi="ar-SA"/>
        </w:rPr>
        <w:t>GB/T 228</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《钢及钢产品交货的一般技术要求》</w:t>
      </w:r>
      <w:r>
        <w:rPr>
          <w:rFonts w:ascii="仿宋_GB2312" w:eastAsia="仿宋_GB2312" w:hAnsi="Times New Roman" w:cs="Times New Roman" w:hint="eastAsia"/>
          <w:sz w:val="32"/>
          <w:szCs w:val="28"/>
          <w:lang w:val="en-US" w:bidi="ar-SA"/>
        </w:rPr>
        <w:t>GB/T 17505</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《型钢验收、包装、标志及质量证明书的一般规定》</w:t>
      </w:r>
      <w:r>
        <w:rPr>
          <w:rFonts w:ascii="仿宋_GB2312" w:eastAsia="仿宋_GB2312" w:hAnsi="Times New Roman" w:cs="Times New Roman" w:hint="eastAsia"/>
          <w:sz w:val="32"/>
          <w:szCs w:val="28"/>
          <w:lang w:val="en-US" w:bidi="ar-SA"/>
        </w:rPr>
        <w:t>GB/T 210</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《钢筋混凝土用套筒》</w:t>
      </w:r>
      <w:r>
        <w:rPr>
          <w:rFonts w:ascii="仿宋_GB2312" w:eastAsia="仿宋_GB2312" w:hAnsi="Times New Roman" w:cs="Times New Roman" w:hint="eastAsia"/>
          <w:sz w:val="32"/>
          <w:szCs w:val="28"/>
          <w:lang w:val="en-US" w:bidi="ar-SA"/>
        </w:rPr>
        <w:t>JG/T 163</w:t>
      </w:r>
    </w:p>
    <w:p w:rsidR="00D0198C" w:rsidRDefault="00BF0CB6">
      <w:pPr>
        <w:pStyle w:val="a3"/>
        <w:spacing w:line="360" w:lineRule="auto"/>
        <w:ind w:firstLineChars="200" w:firstLine="640"/>
        <w:rPr>
          <w:rFonts w:ascii="仿宋_GB2312" w:eastAsia="仿宋_GB2312" w:hAnsi="Times New Roman" w:cs="Times New Roman"/>
          <w:sz w:val="32"/>
          <w:szCs w:val="28"/>
          <w:lang w:val="en-US" w:bidi="ar-SA"/>
        </w:rPr>
      </w:pPr>
      <w:r>
        <w:rPr>
          <w:rFonts w:ascii="仿宋_GB2312" w:eastAsia="仿宋_GB2312" w:hAnsi="Times New Roman" w:cs="Times New Roman" w:hint="eastAsia"/>
          <w:sz w:val="32"/>
          <w:szCs w:val="28"/>
          <w:lang w:val="en-US" w:bidi="ar-SA"/>
        </w:rPr>
        <w:t>《冶金技术标准的数值修约与检测数值的判定》</w:t>
      </w:r>
      <w:r>
        <w:rPr>
          <w:rFonts w:ascii="仿宋_GB2312" w:eastAsia="仿宋_GB2312" w:hAnsi="Times New Roman" w:cs="Times New Roman" w:hint="eastAsia"/>
          <w:sz w:val="32"/>
          <w:szCs w:val="28"/>
          <w:lang w:val="en-US" w:bidi="ar-SA"/>
        </w:rPr>
        <w:t>YB/T 081</w:t>
      </w:r>
    </w:p>
    <w:p w:rsidR="00D0198C" w:rsidRDefault="00BF0CB6">
      <w:pPr>
        <w:spacing w:line="360" w:lineRule="auto"/>
        <w:rPr>
          <w:rFonts w:ascii="仿宋_GB2312" w:eastAsia="仿宋_GB2312" w:hAnsi="宋体"/>
          <w:b/>
          <w:bCs/>
          <w:sz w:val="36"/>
          <w:szCs w:val="36"/>
        </w:rPr>
      </w:pPr>
      <w:r>
        <w:rPr>
          <w:rFonts w:ascii="仿宋_GB2312" w:eastAsia="仿宋_GB2312" w:hAnsi="宋体" w:hint="eastAsia"/>
          <w:sz w:val="32"/>
          <w:szCs w:val="32"/>
        </w:rPr>
        <w:br w:type="page"/>
      </w:r>
    </w:p>
    <w:p w:rsidR="00D0198C" w:rsidRDefault="00BF0CB6">
      <w:pPr>
        <w:pStyle w:val="a3"/>
        <w:spacing w:line="360" w:lineRule="auto"/>
        <w:rPr>
          <w:rFonts w:ascii="仿宋_GB2312" w:eastAsia="仿宋_GB2312" w:cs="Times New Roman"/>
          <w:b/>
          <w:bCs/>
          <w:sz w:val="36"/>
          <w:szCs w:val="36"/>
          <w:lang w:val="en-US" w:bidi="ar-SA"/>
        </w:rPr>
      </w:pPr>
      <w:r>
        <w:rPr>
          <w:rFonts w:ascii="仿宋_GB2312" w:eastAsia="仿宋_GB2312" w:cs="Times New Roman" w:hint="eastAsia"/>
          <w:b/>
          <w:bCs/>
          <w:sz w:val="36"/>
          <w:szCs w:val="36"/>
          <w:lang w:val="en-US" w:bidi="ar-SA"/>
        </w:rPr>
        <w:lastRenderedPageBreak/>
        <w:t>五、</w:t>
      </w:r>
      <w:r>
        <w:rPr>
          <w:rFonts w:ascii="仿宋_GB2312" w:eastAsia="仿宋_GB2312" w:cs="Times New Roman" w:hint="eastAsia"/>
          <w:b/>
          <w:bCs/>
          <w:sz w:val="36"/>
          <w:szCs w:val="36"/>
          <w:lang w:val="en-US" w:bidi="ar-SA"/>
        </w:rPr>
        <w:t>重大分歧意见的处理和依据</w:t>
      </w:r>
      <w:r>
        <w:rPr>
          <w:rFonts w:ascii="仿宋_GB2312" w:eastAsia="仿宋_GB2312" w:cs="Times New Roman" w:hint="eastAsia"/>
          <w:b/>
          <w:bCs/>
          <w:sz w:val="36"/>
          <w:szCs w:val="36"/>
          <w:lang w:val="en-US" w:bidi="ar-SA"/>
        </w:rPr>
        <w:t>;</w:t>
      </w:r>
    </w:p>
    <w:p w:rsidR="00D0198C" w:rsidRDefault="00BF0CB6">
      <w:pPr>
        <w:ind w:firstLine="420"/>
      </w:pPr>
      <w:r>
        <w:rPr>
          <w:rFonts w:ascii="仿宋_GB2312" w:eastAsia="仿宋_GB2312" w:hint="eastAsia"/>
          <w:sz w:val="32"/>
          <w:szCs w:val="28"/>
        </w:rPr>
        <w:t>无</w:t>
      </w:r>
      <w:r>
        <w:rPr>
          <w:rFonts w:hint="eastAsia"/>
        </w:rPr>
        <w:br w:type="page"/>
      </w:r>
    </w:p>
    <w:p w:rsidR="00D0198C" w:rsidRDefault="00D0198C"/>
    <w:p w:rsidR="00D0198C" w:rsidRDefault="00BF0CB6">
      <w:pPr>
        <w:pStyle w:val="a3"/>
        <w:spacing w:line="360" w:lineRule="auto"/>
        <w:rPr>
          <w:rFonts w:ascii="仿宋_GB2312" w:eastAsia="仿宋_GB2312" w:cs="Times New Roman"/>
          <w:b/>
          <w:bCs/>
          <w:sz w:val="36"/>
          <w:szCs w:val="36"/>
          <w:lang w:val="en-US" w:bidi="ar-SA"/>
        </w:rPr>
      </w:pPr>
      <w:r>
        <w:rPr>
          <w:rFonts w:ascii="仿宋_GB2312" w:eastAsia="仿宋_GB2312" w:cs="Times New Roman" w:hint="eastAsia"/>
          <w:b/>
          <w:bCs/>
          <w:sz w:val="36"/>
          <w:szCs w:val="36"/>
          <w:lang w:val="en-US" w:bidi="ar-SA"/>
        </w:rPr>
        <w:t>六</w:t>
      </w:r>
      <w:r>
        <w:rPr>
          <w:rFonts w:ascii="仿宋_GB2312" w:eastAsia="仿宋_GB2312" w:cs="Times New Roman" w:hint="eastAsia"/>
          <w:b/>
          <w:bCs/>
          <w:sz w:val="36"/>
          <w:szCs w:val="36"/>
          <w:lang w:val="en-US" w:bidi="ar-SA"/>
        </w:rPr>
        <w:t>、采用江苏设协团体标准的措施建议</w:t>
      </w:r>
      <w:r>
        <w:rPr>
          <w:rFonts w:ascii="仿宋_GB2312" w:eastAsia="仿宋_GB2312" w:cs="Times New Roman" w:hint="eastAsia"/>
          <w:b/>
          <w:bCs/>
          <w:sz w:val="36"/>
          <w:szCs w:val="36"/>
          <w:lang w:val="en-US" w:bidi="ar-SA"/>
        </w:rPr>
        <w:t>;</w:t>
      </w:r>
    </w:p>
    <w:p w:rsidR="00D0198C" w:rsidRDefault="00BF0CB6">
      <w:pPr>
        <w:ind w:firstLineChars="200" w:firstLine="640"/>
        <w:jc w:val="left"/>
        <w:rPr>
          <w:rFonts w:ascii="仿宋_GB2312" w:eastAsia="仿宋_GB2312"/>
          <w:sz w:val="32"/>
          <w:szCs w:val="28"/>
        </w:rPr>
      </w:pPr>
      <w:r>
        <w:rPr>
          <w:rFonts w:ascii="仿宋_GB2312" w:eastAsia="仿宋_GB2312" w:hint="eastAsia"/>
          <w:sz w:val="32"/>
          <w:szCs w:val="28"/>
        </w:rPr>
        <w:t>1</w:t>
      </w:r>
      <w:r>
        <w:rPr>
          <w:rFonts w:ascii="仿宋_GB2312" w:eastAsia="仿宋_GB2312" w:hint="eastAsia"/>
          <w:sz w:val="32"/>
          <w:szCs w:val="28"/>
        </w:rPr>
        <w:t>、缺乏预应力混凝土构件中的试验研究</w:t>
      </w:r>
    </w:p>
    <w:p w:rsidR="00D0198C" w:rsidRDefault="00BF0CB6">
      <w:pPr>
        <w:ind w:firstLineChars="200" w:firstLine="640"/>
        <w:jc w:val="left"/>
        <w:rPr>
          <w:rFonts w:ascii="仿宋_GB2312" w:eastAsia="仿宋_GB2312"/>
          <w:sz w:val="32"/>
          <w:szCs w:val="28"/>
        </w:rPr>
      </w:pPr>
      <w:r>
        <w:rPr>
          <w:rFonts w:ascii="仿宋_GB2312" w:eastAsia="仿宋_GB2312" w:hint="eastAsia"/>
          <w:sz w:val="32"/>
          <w:szCs w:val="28"/>
        </w:rPr>
        <w:t>预应力混凝土构件广泛应用于大型桥梁、高层建筑、水利水电工程等领域。随着使用年限的增长，预应力混凝土构件的疲劳性能逐渐成为工程实际应用中需要考虑的重要问题。因此，对预应力混凝土构件的疲劳性能进行深入研究，有助于提高工程结构的安全性和可靠性。通过疲劳试验，得出预应力混凝土构件的疲劳寿命曲线，并发现预应力水平、试件尺寸、混凝士配合比等因素对试件疲劳寿命具有显著影响。在工程实际应用中，应根据具体情况进行合理的设计和施工，以保证预应力混凝士构件的疲劳性能符合要求。目前高强钢筋在预应力混凝土构件中的试验研究仍较少，缺乏</w:t>
      </w:r>
      <w:r>
        <w:rPr>
          <w:rFonts w:ascii="仿宋_GB2312" w:eastAsia="仿宋_GB2312" w:hint="eastAsia"/>
          <w:sz w:val="32"/>
          <w:szCs w:val="28"/>
        </w:rPr>
        <w:t>相关使用依据。</w:t>
      </w:r>
    </w:p>
    <w:p w:rsidR="00D0198C" w:rsidRDefault="00BF0CB6">
      <w:pPr>
        <w:ind w:firstLineChars="200" w:firstLine="640"/>
        <w:jc w:val="left"/>
        <w:rPr>
          <w:rFonts w:ascii="仿宋_GB2312" w:eastAsia="仿宋_GB2312"/>
          <w:sz w:val="32"/>
          <w:szCs w:val="28"/>
        </w:rPr>
      </w:pPr>
      <w:r>
        <w:rPr>
          <w:rFonts w:ascii="仿宋_GB2312" w:eastAsia="仿宋_GB2312" w:hint="eastAsia"/>
          <w:sz w:val="32"/>
          <w:szCs w:val="28"/>
        </w:rPr>
        <w:t>2</w:t>
      </w:r>
      <w:r>
        <w:rPr>
          <w:rFonts w:ascii="仿宋_GB2312" w:eastAsia="仿宋_GB2312" w:hint="eastAsia"/>
          <w:sz w:val="32"/>
          <w:szCs w:val="28"/>
        </w:rPr>
        <w:t>、连接形式仍需进一步研究</w:t>
      </w:r>
    </w:p>
    <w:p w:rsidR="00D0198C" w:rsidRDefault="00BF0CB6">
      <w:pPr>
        <w:ind w:firstLineChars="200" w:firstLine="640"/>
        <w:jc w:val="left"/>
        <w:rPr>
          <w:rFonts w:ascii="仿宋_GB2312" w:eastAsia="仿宋_GB2312"/>
          <w:sz w:val="32"/>
          <w:szCs w:val="28"/>
        </w:rPr>
      </w:pPr>
      <w:r>
        <w:rPr>
          <w:rFonts w:ascii="仿宋_GB2312" w:eastAsia="仿宋_GB2312" w:hint="eastAsia"/>
          <w:sz w:val="32"/>
          <w:szCs w:val="28"/>
        </w:rPr>
        <w:t>（</w:t>
      </w:r>
      <w:r>
        <w:rPr>
          <w:rFonts w:ascii="仿宋_GB2312" w:eastAsia="仿宋_GB2312" w:hint="eastAsia"/>
          <w:sz w:val="32"/>
          <w:szCs w:val="28"/>
        </w:rPr>
        <w:t>1</w:t>
      </w:r>
      <w:r>
        <w:rPr>
          <w:rFonts w:ascii="仿宋_GB2312" w:eastAsia="仿宋_GB2312" w:hint="eastAsia"/>
          <w:sz w:val="32"/>
          <w:szCs w:val="28"/>
        </w:rPr>
        <w:t>）高强钢筋电焊焊接需要采用高效率的焊接材料和严格的焊接技术，成本较高。</w:t>
      </w:r>
    </w:p>
    <w:p w:rsidR="00D0198C" w:rsidRDefault="00BF0CB6">
      <w:pPr>
        <w:ind w:firstLineChars="200" w:firstLine="640"/>
        <w:jc w:val="left"/>
        <w:rPr>
          <w:rFonts w:ascii="仿宋_GB2312" w:eastAsia="仿宋_GB2312"/>
          <w:sz w:val="32"/>
          <w:szCs w:val="28"/>
        </w:rPr>
      </w:pPr>
      <w:r>
        <w:rPr>
          <w:rFonts w:ascii="仿宋_GB2312" w:eastAsia="仿宋_GB2312" w:hint="eastAsia"/>
          <w:sz w:val="32"/>
          <w:szCs w:val="28"/>
        </w:rPr>
        <w:t>（</w:t>
      </w:r>
      <w:r>
        <w:rPr>
          <w:rFonts w:ascii="仿宋_GB2312" w:eastAsia="仿宋_GB2312" w:hint="eastAsia"/>
          <w:sz w:val="32"/>
          <w:szCs w:val="28"/>
        </w:rPr>
        <w:t>2</w:t>
      </w:r>
      <w:r>
        <w:rPr>
          <w:rFonts w:ascii="仿宋_GB2312" w:eastAsia="仿宋_GB2312" w:hint="eastAsia"/>
          <w:sz w:val="32"/>
          <w:szCs w:val="28"/>
        </w:rPr>
        <w:t>）如果焊接不当，可能会导致焊缝裂纹、焊接接头强度下降等质量问题，引发安全隐患。日后可作为研究课题之一。</w:t>
      </w:r>
    </w:p>
    <w:p w:rsidR="00D0198C" w:rsidRDefault="00BF0CB6">
      <w:r>
        <w:rPr>
          <w:rFonts w:hint="eastAsia"/>
        </w:rPr>
        <w:br w:type="page"/>
      </w:r>
    </w:p>
    <w:p w:rsidR="00D0198C" w:rsidRDefault="00BF0CB6">
      <w:pPr>
        <w:pStyle w:val="a3"/>
        <w:numPr>
          <w:ilvl w:val="0"/>
          <w:numId w:val="2"/>
        </w:numPr>
        <w:spacing w:line="360" w:lineRule="auto"/>
        <w:rPr>
          <w:rFonts w:ascii="仿宋_GB2312" w:eastAsia="仿宋_GB2312" w:cs="Times New Roman"/>
          <w:b/>
          <w:bCs/>
          <w:sz w:val="36"/>
          <w:szCs w:val="36"/>
          <w:lang w:val="en-US" w:bidi="ar-SA"/>
        </w:rPr>
      </w:pPr>
      <w:r>
        <w:rPr>
          <w:rFonts w:ascii="仿宋_GB2312" w:eastAsia="仿宋_GB2312" w:cs="Times New Roman" w:hint="eastAsia"/>
          <w:b/>
          <w:bCs/>
          <w:sz w:val="36"/>
          <w:szCs w:val="36"/>
          <w:lang w:val="en-US" w:bidi="ar-SA"/>
        </w:rPr>
        <w:lastRenderedPageBreak/>
        <w:t>其它应予说明的事项。</w:t>
      </w:r>
    </w:p>
    <w:p w:rsidR="00D0198C" w:rsidRDefault="00BF0CB6">
      <w:pPr>
        <w:pStyle w:val="a4"/>
        <w:ind w:firstLine="420"/>
        <w:jc w:val="both"/>
        <w:rPr>
          <w:rFonts w:ascii="仿宋_GB2312" w:eastAsia="仿宋_GB2312" w:hAnsi="Times New Roman"/>
          <w:b w:val="0"/>
          <w:bCs w:val="0"/>
          <w:szCs w:val="28"/>
        </w:rPr>
      </w:pPr>
      <w:r>
        <w:rPr>
          <w:rFonts w:ascii="仿宋_GB2312" w:eastAsia="仿宋_GB2312" w:hAnsi="Times New Roman" w:hint="eastAsia"/>
          <w:b w:val="0"/>
          <w:bCs w:val="0"/>
          <w:szCs w:val="28"/>
        </w:rPr>
        <w:t>无</w:t>
      </w:r>
    </w:p>
    <w:sectPr w:rsidR="00D0198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4DC6304"/>
    <w:multiLevelType w:val="singleLevel"/>
    <w:tmpl w:val="F4DC6304"/>
    <w:lvl w:ilvl="0">
      <w:start w:val="7"/>
      <w:numFmt w:val="chineseCounting"/>
      <w:suff w:val="nothing"/>
      <w:lvlText w:val="%1、"/>
      <w:lvlJc w:val="left"/>
      <w:rPr>
        <w:rFonts w:hint="eastAsia"/>
      </w:rPr>
    </w:lvl>
  </w:abstractNum>
  <w:abstractNum w:abstractNumId="1" w15:restartNumberingAfterBreak="0">
    <w:nsid w:val="71A08D4A"/>
    <w:multiLevelType w:val="singleLevel"/>
    <w:tmpl w:val="71A08D4A"/>
    <w:lvl w:ilvl="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0ZTk3MzY4YThmZGNjMmY5MjdiNjBkYzcxOTFhM2UifQ=="/>
  </w:docVars>
  <w:rsids>
    <w:rsidRoot w:val="00D32BE3"/>
    <w:rsid w:val="00606F82"/>
    <w:rsid w:val="0093750B"/>
    <w:rsid w:val="009C54A7"/>
    <w:rsid w:val="009F1D74"/>
    <w:rsid w:val="00BF0CB6"/>
    <w:rsid w:val="00D0198C"/>
    <w:rsid w:val="00D32BE3"/>
    <w:rsid w:val="016C3F0B"/>
    <w:rsid w:val="15F924EF"/>
    <w:rsid w:val="1D561100"/>
    <w:rsid w:val="1E935FAB"/>
    <w:rsid w:val="20F77CBF"/>
    <w:rsid w:val="27312F1B"/>
    <w:rsid w:val="382717A5"/>
    <w:rsid w:val="3B595335"/>
    <w:rsid w:val="3FA64D1C"/>
    <w:rsid w:val="40F743B3"/>
    <w:rsid w:val="489509F6"/>
    <w:rsid w:val="51FD5783"/>
    <w:rsid w:val="5215431A"/>
    <w:rsid w:val="54E156AA"/>
    <w:rsid w:val="57643792"/>
    <w:rsid w:val="5C49084E"/>
    <w:rsid w:val="61C4561C"/>
    <w:rsid w:val="636C2837"/>
    <w:rsid w:val="70986888"/>
    <w:rsid w:val="7DDF1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A1D2A"/>
  <w15:docId w15:val="{6074A8B1-68AE-404D-82D2-571FDD4AD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4"/>
    <w:uiPriority w:val="1"/>
    <w:qFormat/>
    <w:rPr>
      <w:rFonts w:ascii="宋体" w:hAnsi="宋体" w:cs="宋体"/>
      <w:sz w:val="24"/>
      <w:lang w:val="zh-CN" w:bidi="zh-CN"/>
    </w:rPr>
  </w:style>
  <w:style w:type="paragraph" w:styleId="a4">
    <w:name w:val="Title"/>
    <w:basedOn w:val="a"/>
    <w:next w:val="a"/>
    <w:qFormat/>
    <w:pPr>
      <w:spacing w:before="240" w:after="60"/>
      <w:jc w:val="center"/>
      <w:outlineLvl w:val="0"/>
    </w:pPr>
    <w:rPr>
      <w:rFonts w:ascii="Cambria" w:hAnsi="Cambria"/>
      <w:b/>
      <w:bCs/>
      <w:sz w:val="32"/>
      <w:szCs w:val="32"/>
    </w:rPr>
  </w:style>
  <w:style w:type="paragraph" w:styleId="a5">
    <w:name w:val="Body Text Indent"/>
    <w:basedOn w:val="a"/>
    <w:qFormat/>
    <w:pPr>
      <w:spacing w:after="120"/>
      <w:ind w:leftChars="200" w:left="420"/>
    </w:pPr>
  </w:style>
  <w:style w:type="paragraph" w:styleId="a6">
    <w:name w:val="footer"/>
    <w:basedOn w:val="a"/>
    <w:uiPriority w:val="99"/>
    <w:semiHidden/>
    <w:unhideWhenUsed/>
    <w:qFormat/>
    <w:pPr>
      <w:tabs>
        <w:tab w:val="center" w:pos="4153"/>
        <w:tab w:val="right" w:pos="8306"/>
      </w:tabs>
      <w:snapToGrid w:val="0"/>
      <w:jc w:val="left"/>
    </w:pPr>
    <w:rPr>
      <w:sz w:val="18"/>
    </w:rPr>
  </w:style>
  <w:style w:type="paragraph" w:styleId="a7">
    <w:name w:val="header"/>
    <w:basedOn w:val="a"/>
    <w:uiPriority w:val="99"/>
    <w:semiHidden/>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2">
    <w:name w:val="Body Text First Indent 2"/>
    <w:basedOn w:val="a5"/>
    <w:qFormat/>
    <w:pPr>
      <w:ind w:firstLineChars="200" w:firstLine="420"/>
    </w:pPr>
  </w:style>
  <w:style w:type="character" w:customStyle="1" w:styleId="Char">
    <w:name w:val="段 Char"/>
    <w:link w:val="a8"/>
    <w:qFormat/>
    <w:rPr>
      <w:rFonts w:ascii="宋体"/>
    </w:rPr>
  </w:style>
  <w:style w:type="paragraph" w:customStyle="1" w:styleId="a8">
    <w:name w:val="段"/>
    <w:link w:val="Char"/>
    <w:qFormat/>
    <w:pPr>
      <w:tabs>
        <w:tab w:val="center" w:pos="4201"/>
        <w:tab w:val="right" w:leader="dot" w:pos="9298"/>
      </w:tabs>
      <w:autoSpaceDE w:val="0"/>
      <w:autoSpaceDN w:val="0"/>
      <w:ind w:firstLineChars="200" w:firstLine="420"/>
      <w:jc w:val="both"/>
    </w:pPr>
    <w:rPr>
      <w:rFonts w:ascii="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733</Words>
  <Characters>4181</Characters>
  <Application>Microsoft Office Word</Application>
  <DocSecurity>0</DocSecurity>
  <Lines>34</Lines>
  <Paragraphs>9</Paragraphs>
  <ScaleCrop>false</ScaleCrop>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褚波</dc:creator>
  <cp:lastModifiedBy>DELL</cp:lastModifiedBy>
  <cp:revision>3</cp:revision>
  <dcterms:created xsi:type="dcterms:W3CDTF">2019-07-25T06:28:00Z</dcterms:created>
  <dcterms:modified xsi:type="dcterms:W3CDTF">2024-11-13T01:33:00Z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D2CCA860E805412384780737E73B9543_13</vt:lpwstr>
  </property>
</Properties>
</file>